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6B" w:rsidRDefault="00A7096B" w:rsidP="00A709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 xml:space="preserve">Тарифы по предоставлению в аренду индивидуальных сейфов, </w:t>
      </w:r>
      <w:r>
        <w:rPr>
          <w:rFonts w:ascii="Arial" w:hAnsi="Arial" w:cs="Arial"/>
          <w:color w:val="000080"/>
          <w:sz w:val="27"/>
          <w:szCs w:val="27"/>
        </w:rPr>
        <w:br/>
        <w:t>установленные для отделений Сбербанка России г. Москвы</w:t>
      </w:r>
    </w:p>
    <w:p w:rsidR="00A7096B" w:rsidRDefault="00A7096B" w:rsidP="00A7096B">
      <w:pPr>
        <w:jc w:val="center"/>
        <w:rPr>
          <w:color w:val="000000"/>
        </w:rPr>
      </w:pPr>
      <w:r>
        <w:rPr>
          <w:rFonts w:ascii="Arial" w:hAnsi="Arial" w:cs="Arial"/>
          <w:color w:val="000080"/>
          <w:sz w:val="27"/>
          <w:szCs w:val="27"/>
        </w:rPr>
        <w:t>для физических лиц</w:t>
      </w:r>
    </w:p>
    <w:p w:rsidR="00A7096B" w:rsidRDefault="00A7096B" w:rsidP="00A709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80"/>
          <w:sz w:val="27"/>
          <w:szCs w:val="27"/>
        </w:rPr>
      </w:pPr>
    </w:p>
    <w:tbl>
      <w:tblPr>
        <w:tblStyle w:val="af3"/>
        <w:tblW w:w="4873" w:type="pct"/>
        <w:tblInd w:w="140" w:type="dxa"/>
        <w:tblLook w:val="01E0" w:firstRow="1" w:lastRow="1" w:firstColumn="1" w:lastColumn="1" w:noHBand="0" w:noVBand="0"/>
      </w:tblPr>
      <w:tblGrid>
        <w:gridCol w:w="1533"/>
        <w:gridCol w:w="1299"/>
        <w:gridCol w:w="1300"/>
        <w:gridCol w:w="1298"/>
        <w:gridCol w:w="1300"/>
        <w:gridCol w:w="1298"/>
        <w:gridCol w:w="1300"/>
      </w:tblGrid>
      <w:tr w:rsidR="00A7096B" w:rsidRPr="00E178DC" w:rsidTr="0061337E">
        <w:trPr>
          <w:trHeight w:val="375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Предоставление в аренду индивидуальных сейфов шириной* до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178DC">
                <w:rPr>
                  <w:rFonts w:ascii="Arial" w:hAnsi="Arial" w:cs="Arial"/>
                  <w:b/>
                  <w:bCs/>
                  <w:sz w:val="20"/>
                  <w:szCs w:val="20"/>
                </w:rPr>
                <w:t>35 см</w:t>
              </w:r>
            </w:smartTag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включительно</w:t>
            </w:r>
          </w:p>
        </w:tc>
      </w:tr>
      <w:tr w:rsidR="00A7096B" w:rsidRPr="00E178DC" w:rsidTr="0061337E">
        <w:trPr>
          <w:trHeight w:val="375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руб./день (с учетом НДС)</w:t>
            </w:r>
          </w:p>
        </w:tc>
      </w:tr>
      <w:tr w:rsidR="00A7096B" w:rsidRPr="00E178DC" w:rsidTr="0061337E">
        <w:trPr>
          <w:trHeight w:val="750"/>
        </w:trPr>
        <w:tc>
          <w:tcPr>
            <w:tcW w:w="821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Высота* сейфа, </w:t>
            </w:r>
            <w:proofErr w:type="gramStart"/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696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 до 30 дней**</w:t>
            </w:r>
          </w:p>
        </w:tc>
        <w:tc>
          <w:tcPr>
            <w:tcW w:w="69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696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69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до 180 дней</w:t>
            </w:r>
          </w:p>
        </w:tc>
        <w:tc>
          <w:tcPr>
            <w:tcW w:w="696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  <w:tc>
          <w:tcPr>
            <w:tcW w:w="69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срок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361 дн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до 1096 дней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178DC">
              <w:rPr>
                <w:rFonts w:ascii="Arial" w:hAnsi="Arial" w:cs="Arial"/>
                <w:sz w:val="20"/>
                <w:szCs w:val="20"/>
              </w:rPr>
              <w:t xml:space="preserve"> до 5,9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6 до 9,9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A7096B" w:rsidRPr="00E178DC" w:rsidTr="0061337E">
        <w:trPr>
          <w:trHeight w:val="255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10 до 13,9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14 до 19,9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20 до 24,9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A7096B" w:rsidRPr="00E178DC" w:rsidTr="0061337E">
        <w:trPr>
          <w:trHeight w:val="255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25 до 29,9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30 до 34,9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35 до 44,9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7096B" w:rsidRPr="00E178DC" w:rsidTr="0061337E">
        <w:trPr>
          <w:trHeight w:val="255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45 до 49,9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A7096B" w:rsidRPr="00E178DC" w:rsidTr="0061337E">
        <w:trPr>
          <w:trHeight w:val="255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50 и более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A7096B" w:rsidRPr="00E178DC" w:rsidTr="0061337E">
        <w:trPr>
          <w:trHeight w:val="240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* параметры «высота» и «ширина» определяются по внешним размерам индивидуальных сейфов</w:t>
            </w:r>
          </w:p>
          <w:p w:rsidR="00A7096B" w:rsidRPr="00E178DC" w:rsidRDefault="00A7096B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E178DC">
              <w:rPr>
                <w:rFonts w:ascii="Arial" w:hAnsi="Arial" w:cs="Arial"/>
                <w:sz w:val="20"/>
                <w:szCs w:val="20"/>
              </w:rPr>
              <w:t>00 рублей за весь срок аренды (с учетом НДС)</w:t>
            </w:r>
          </w:p>
        </w:tc>
      </w:tr>
      <w:tr w:rsidR="00A7096B" w:rsidRPr="00E178DC" w:rsidTr="0061337E">
        <w:trPr>
          <w:trHeight w:val="375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Предоставление в аренду индивидуальных сейфов шириной* 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178DC">
                <w:rPr>
                  <w:rFonts w:ascii="Arial" w:hAnsi="Arial" w:cs="Arial"/>
                  <w:b/>
                  <w:bCs/>
                  <w:sz w:val="20"/>
                  <w:szCs w:val="20"/>
                </w:rPr>
                <w:t>50 см</w:t>
              </w:r>
            </w:smartTag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более</w:t>
            </w:r>
          </w:p>
        </w:tc>
      </w:tr>
      <w:tr w:rsidR="00A7096B" w:rsidRPr="00E178DC" w:rsidTr="0061337E">
        <w:trPr>
          <w:trHeight w:val="375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руб./день (с учетом НДС)</w:t>
            </w:r>
          </w:p>
        </w:tc>
      </w:tr>
      <w:tr w:rsidR="00A7096B" w:rsidRPr="00E178DC" w:rsidTr="0061337E">
        <w:trPr>
          <w:trHeight w:val="750"/>
        </w:trPr>
        <w:tc>
          <w:tcPr>
            <w:tcW w:w="821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Высота* сейфа, </w:t>
            </w:r>
            <w:proofErr w:type="gramStart"/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696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 до 30 дней**</w:t>
            </w:r>
          </w:p>
        </w:tc>
        <w:tc>
          <w:tcPr>
            <w:tcW w:w="69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696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69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91до 180 дней</w:t>
            </w:r>
          </w:p>
        </w:tc>
        <w:tc>
          <w:tcPr>
            <w:tcW w:w="696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  <w:tc>
          <w:tcPr>
            <w:tcW w:w="69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срок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361 дн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до 1096 дней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20 до 24,9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25 до 34,9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A7096B" w:rsidRPr="00E178DC" w:rsidTr="0061337E">
        <w:trPr>
          <w:trHeight w:val="240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от 35 до 44,9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7096B" w:rsidRPr="00E178DC" w:rsidTr="0061337E">
        <w:trPr>
          <w:trHeight w:val="255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 xml:space="preserve">от 45 до </w:t>
            </w:r>
            <w:r w:rsidRPr="004C0968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A7096B" w:rsidRPr="00E178DC" w:rsidTr="0061337E">
        <w:trPr>
          <w:trHeight w:val="255"/>
        </w:trPr>
        <w:tc>
          <w:tcPr>
            <w:tcW w:w="821" w:type="pct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55 и более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6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9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A7096B" w:rsidRPr="00E178DC" w:rsidTr="0061337E">
        <w:trPr>
          <w:trHeight w:val="240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* параметры «высота» и «ширина» определяются по внешним размерам индивидуальных сейфов</w:t>
            </w:r>
          </w:p>
          <w:p w:rsidR="00A7096B" w:rsidRPr="00E178DC" w:rsidRDefault="00A7096B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E178DC">
              <w:rPr>
                <w:rFonts w:ascii="Arial" w:hAnsi="Arial" w:cs="Arial"/>
                <w:sz w:val="20"/>
                <w:szCs w:val="20"/>
              </w:rPr>
              <w:t>00 рублей за весь срок аренды (с учетом НДС)</w:t>
            </w:r>
          </w:p>
        </w:tc>
      </w:tr>
    </w:tbl>
    <w:p w:rsidR="00A7096B" w:rsidRDefault="00A7096B" w:rsidP="00A7096B"/>
    <w:tbl>
      <w:tblPr>
        <w:tblStyle w:val="af3"/>
        <w:tblW w:w="4873" w:type="pct"/>
        <w:tblInd w:w="140" w:type="dxa"/>
        <w:tblLook w:val="01E0" w:firstRow="1" w:lastRow="1" w:firstColumn="1" w:lastColumn="1" w:noHBand="0" w:noVBand="0"/>
      </w:tblPr>
      <w:tblGrid>
        <w:gridCol w:w="1566"/>
        <w:gridCol w:w="1308"/>
        <w:gridCol w:w="1313"/>
        <w:gridCol w:w="1313"/>
        <w:gridCol w:w="1319"/>
        <w:gridCol w:w="1321"/>
        <w:gridCol w:w="1188"/>
      </w:tblGrid>
      <w:tr w:rsidR="00A7096B" w:rsidRPr="00E178DC" w:rsidTr="0061337E"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sz w:val="20"/>
                <w:szCs w:val="20"/>
              </w:rPr>
              <w:t>Допуск к индивидуальному сейфу расширенного круга лиц</w:t>
            </w:r>
          </w:p>
        </w:tc>
      </w:tr>
      <w:tr w:rsidR="00A7096B" w:rsidRPr="00E178DC" w:rsidTr="0061337E">
        <w:trPr>
          <w:trHeight w:val="240"/>
        </w:trPr>
        <w:tc>
          <w:tcPr>
            <w:tcW w:w="5000" w:type="pct"/>
            <w:gridSpan w:val="7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За каждый вариант допуска, * руб./день (с учетом НДС)</w:t>
            </w:r>
          </w:p>
        </w:tc>
      </w:tr>
      <w:tr w:rsidR="00A7096B" w:rsidTr="0061337E">
        <w:tc>
          <w:tcPr>
            <w:tcW w:w="839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сейфа, </w:t>
            </w:r>
            <w:proofErr w:type="gramStart"/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01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до 15 дней**</w:t>
            </w:r>
          </w:p>
        </w:tc>
        <w:tc>
          <w:tcPr>
            <w:tcW w:w="704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16 до 30 дней**</w:t>
            </w:r>
          </w:p>
        </w:tc>
        <w:tc>
          <w:tcPr>
            <w:tcW w:w="704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70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708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91до 180 дней</w:t>
            </w:r>
          </w:p>
        </w:tc>
        <w:tc>
          <w:tcPr>
            <w:tcW w:w="637" w:type="pct"/>
            <w:shd w:val="clear" w:color="auto" w:fill="CCFFFF"/>
          </w:tcPr>
          <w:p w:rsidR="00A7096B" w:rsidRPr="00E178DC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</w:tr>
      <w:tr w:rsidR="00A7096B" w:rsidTr="0061337E">
        <w:tc>
          <w:tcPr>
            <w:tcW w:w="839" w:type="pct"/>
          </w:tcPr>
          <w:p w:rsidR="00A7096B" w:rsidRPr="00E178DC" w:rsidRDefault="00A7096B" w:rsidP="0061337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sz w:val="20"/>
                <w:szCs w:val="20"/>
              </w:rPr>
              <w:t>Все типоразмеры</w:t>
            </w:r>
          </w:p>
        </w:tc>
        <w:tc>
          <w:tcPr>
            <w:tcW w:w="701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4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4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7" w:type="pct"/>
            <w:vAlign w:val="center"/>
          </w:tcPr>
          <w:p w:rsidR="00A7096B" w:rsidRDefault="00A7096B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7096B" w:rsidTr="0061337E">
        <w:tc>
          <w:tcPr>
            <w:tcW w:w="5000" w:type="pct"/>
            <w:gridSpan w:val="7"/>
          </w:tcPr>
          <w:p w:rsidR="00A7096B" w:rsidRDefault="00A7096B" w:rsidP="0061337E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D5AD1">
              <w:rPr>
                <w:rFonts w:ascii="Arial" w:hAnsi="Arial" w:cs="Arial"/>
                <w:sz w:val="20"/>
                <w:szCs w:val="20"/>
              </w:rPr>
              <w:t xml:space="preserve">* Плата взимается по каждому варианту допуска из числа </w:t>
            </w:r>
            <w:proofErr w:type="gramStart"/>
            <w:r w:rsidRPr="00BD5AD1">
              <w:rPr>
                <w:rFonts w:ascii="Arial" w:hAnsi="Arial" w:cs="Arial"/>
                <w:sz w:val="20"/>
                <w:szCs w:val="20"/>
              </w:rPr>
              <w:t>указанных</w:t>
            </w:r>
            <w:proofErr w:type="gramEnd"/>
            <w:r w:rsidRPr="00BD5AD1">
              <w:rPr>
                <w:rFonts w:ascii="Arial" w:hAnsi="Arial" w:cs="Arial"/>
                <w:sz w:val="20"/>
                <w:szCs w:val="20"/>
              </w:rPr>
              <w:t xml:space="preserve"> в Дополнительном соглашении к Договору аренды индивидуального сейфа</w:t>
            </w:r>
          </w:p>
          <w:p w:rsidR="00A7096B" w:rsidRPr="00E178DC" w:rsidRDefault="00A7096B" w:rsidP="0061337E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6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 рублей за весь срок аренды (с учетом НДС)</w:t>
            </w:r>
          </w:p>
        </w:tc>
      </w:tr>
    </w:tbl>
    <w:p w:rsidR="00A7096B" w:rsidRPr="00D67F8E" w:rsidRDefault="00A7096B" w:rsidP="00A7096B">
      <w:pPr>
        <w:rPr>
          <w:vanish/>
        </w:rPr>
      </w:pPr>
    </w:p>
    <w:tbl>
      <w:tblPr>
        <w:tblW w:w="4950" w:type="pct"/>
        <w:jc w:val="center"/>
        <w:tblInd w:w="-9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0"/>
        <w:gridCol w:w="3531"/>
      </w:tblGrid>
      <w:tr w:rsidR="00A7096B" w:rsidTr="0061337E">
        <w:trPr>
          <w:trHeight w:val="148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7096B" w:rsidRDefault="00A7096B" w:rsidP="0061337E">
            <w:pPr>
              <w:pStyle w:val="a3"/>
              <w:spacing w:after="0" w:afterAutospacing="0" w:line="240" w:lineRule="atLeast"/>
              <w:rPr>
                <w:rFonts w:asci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контроля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допуском к  индивидуальному сейфу в соответствии с условиями договора аренды индивидуального сейфа при осуществлении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расчетов по сделкам с недвижимостью</w:t>
            </w:r>
            <w:r>
              <w:rPr>
                <w:rStyle w:val="af0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7096B" w:rsidRDefault="00A7096B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руб.</w:t>
            </w:r>
          </w:p>
        </w:tc>
      </w:tr>
      <w:tr w:rsidR="00A7096B" w:rsidTr="0061337E">
        <w:trPr>
          <w:trHeight w:val="148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7096B" w:rsidRDefault="00A7096B" w:rsidP="0061337E">
            <w:pPr>
              <w:pStyle w:val="a3"/>
              <w:spacing w:after="0" w:afterAutospacing="0"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3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контроля </w:t>
            </w:r>
            <w:proofErr w:type="gramStart"/>
            <w:r w:rsidRPr="0038732D">
              <w:rPr>
                <w:rFonts w:ascii="Arial" w:hAnsi="Arial" w:cs="Arial"/>
                <w:b/>
                <w:bCs/>
                <w:sz w:val="20"/>
                <w:szCs w:val="20"/>
              </w:rPr>
              <w:t>за допуском к индивидуальному сейфу в соответствии с условиями договора аренды индивидуального сейфа при осуществлении</w:t>
            </w:r>
            <w:proofErr w:type="gramEnd"/>
            <w:r w:rsidRPr="0038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расчетов с </w:t>
            </w:r>
            <w:proofErr w:type="spellStart"/>
            <w:r w:rsidRPr="0038732D">
              <w:rPr>
                <w:rFonts w:ascii="Arial" w:hAnsi="Arial" w:cs="Arial"/>
                <w:b/>
                <w:bCs/>
                <w:sz w:val="20"/>
                <w:szCs w:val="20"/>
              </w:rPr>
              <w:t>риэлтором</w:t>
            </w:r>
            <w:proofErr w:type="spellEnd"/>
            <w:r w:rsidRPr="0038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сделкам с недвижимостью</w:t>
            </w:r>
            <w:r>
              <w:rPr>
                <w:rStyle w:val="af0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7096B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руб.</w:t>
            </w:r>
          </w:p>
        </w:tc>
      </w:tr>
      <w:tr w:rsidR="00A7096B" w:rsidTr="0061337E">
        <w:trPr>
          <w:trHeight w:val="148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7096B" w:rsidRDefault="00A7096B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6B" w:rsidRDefault="00A7096B" w:rsidP="0061337E">
            <w:pPr>
              <w:rPr>
                <w:rFonts w:ascii="Arial Unicode MS" w:eastAsia="Arial Unicode MS" w:cs="Arial Unicode M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контроля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 допуском к  индивидуальному сейфу в соответствии с условиями договора аренды индивидуального сейфа при осуществления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расчетов между клиентами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(кроме расчетов по сделкам с недвижимостью)</w:t>
            </w:r>
            <w:r>
              <w:rPr>
                <w:rStyle w:val="af0"/>
                <w:rFonts w:eastAsia="Batang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7096B" w:rsidRDefault="00A7096B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00 руб.</w:t>
            </w:r>
          </w:p>
        </w:tc>
      </w:tr>
      <w:tr w:rsidR="00A7096B" w:rsidTr="0061337E">
        <w:trPr>
          <w:trHeight w:val="148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7096B" w:rsidRDefault="00A7096B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096B" w:rsidRDefault="00A7096B" w:rsidP="0061337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банковской техники для пересчета и проверки подлинности денежной наличности (</w:t>
            </w:r>
            <w:r w:rsidRPr="00840A66">
              <w:rPr>
                <w:rFonts w:ascii="Arial" w:hAnsi="Arial" w:cs="Arial"/>
                <w:bCs/>
                <w:sz w:val="20"/>
                <w:szCs w:val="20"/>
              </w:rPr>
              <w:t>при предоставлении индивидуальных сейфов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 осуществления расчетов, в том числе по сделкам с </w:t>
            </w:r>
            <w:proofErr w:type="gramEnd"/>
          </w:p>
          <w:p w:rsidR="00A7096B" w:rsidRDefault="00A7096B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недвижимостью) (с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7096B" w:rsidRPr="004C0968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A7096B" w:rsidTr="0061337E">
        <w:trPr>
          <w:trHeight w:val="1480"/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7096B" w:rsidRDefault="00A7096B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Розыск индивидуального сейфа (независимо от количества структурных подразделений Московского банка, в которых проводится розыск) </w:t>
            </w:r>
            <w:r w:rsidRPr="00840A6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7096B" w:rsidRDefault="00A7096B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руб.</w:t>
            </w:r>
            <w:r>
              <w:rPr>
                <w:rStyle w:val="af0"/>
                <w:sz w:val="20"/>
                <w:szCs w:val="20"/>
              </w:rPr>
              <w:footnoteReference w:id="3"/>
            </w:r>
          </w:p>
        </w:tc>
      </w:tr>
    </w:tbl>
    <w:p w:rsidR="00A7096B" w:rsidRPr="00E178DC" w:rsidRDefault="00A7096B" w:rsidP="00A7096B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47715" w:rsidRPr="00E178DC" w:rsidRDefault="00447715" w:rsidP="00A7096B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7715" w:rsidRPr="00E178DC" w:rsidSect="0044771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2C" w:rsidRDefault="001A122C" w:rsidP="00175C83">
      <w:r>
        <w:separator/>
      </w:r>
    </w:p>
  </w:endnote>
  <w:endnote w:type="continuationSeparator" w:id="0">
    <w:p w:rsidR="001A122C" w:rsidRDefault="001A122C" w:rsidP="001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2C" w:rsidRDefault="001A122C" w:rsidP="00175C83">
      <w:r>
        <w:separator/>
      </w:r>
    </w:p>
  </w:footnote>
  <w:footnote w:type="continuationSeparator" w:id="0">
    <w:p w:rsidR="001A122C" w:rsidRDefault="001A122C" w:rsidP="00175C83">
      <w:r>
        <w:continuationSeparator/>
      </w:r>
    </w:p>
  </w:footnote>
  <w:footnote w:id="1">
    <w:p w:rsidR="00A7096B" w:rsidRDefault="00A7096B" w:rsidP="00A7096B">
      <w:pPr>
        <w:pStyle w:val="a4"/>
      </w:pPr>
      <w:r>
        <w:rPr>
          <w:rStyle w:val="af0"/>
        </w:rPr>
        <w:footnoteRef/>
      </w:r>
      <w:r>
        <w:t xml:space="preserve"> Плата взимается дополнительно к сумме платы за предоставление в аренду индивидуальных сейфов</w:t>
      </w:r>
    </w:p>
  </w:footnote>
  <w:footnote w:id="2">
    <w:p w:rsidR="00A7096B" w:rsidRDefault="00A7096B" w:rsidP="00A7096B">
      <w:pPr>
        <w:pStyle w:val="a4"/>
      </w:pPr>
      <w:r>
        <w:rPr>
          <w:rStyle w:val="af0"/>
        </w:rPr>
        <w:footnoteRef/>
      </w:r>
      <w:r>
        <w:t xml:space="preserve"> Плата взимается дополнительно к сумме платы за предоставление в аренду индивидуальных сейфов</w:t>
      </w:r>
    </w:p>
  </w:footnote>
  <w:footnote w:id="3">
    <w:p w:rsidR="00A7096B" w:rsidRDefault="00A7096B" w:rsidP="00A7096B">
      <w:pPr>
        <w:pStyle w:val="a4"/>
      </w:pPr>
      <w:r>
        <w:rPr>
          <w:rStyle w:val="af0"/>
        </w:rPr>
        <w:footnoteRef/>
      </w:r>
      <w:r>
        <w:t xml:space="preserve"> За розыск сейфов, арендованных одним клиентом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A"/>
    <w:rsid w:val="00097B85"/>
    <w:rsid w:val="00175C83"/>
    <w:rsid w:val="001A122C"/>
    <w:rsid w:val="001A77AD"/>
    <w:rsid w:val="00206B2B"/>
    <w:rsid w:val="0038732D"/>
    <w:rsid w:val="003C20E5"/>
    <w:rsid w:val="003F7842"/>
    <w:rsid w:val="00401D9A"/>
    <w:rsid w:val="004172B4"/>
    <w:rsid w:val="00447715"/>
    <w:rsid w:val="004C0968"/>
    <w:rsid w:val="005F7A86"/>
    <w:rsid w:val="006A2B82"/>
    <w:rsid w:val="0070500D"/>
    <w:rsid w:val="007B0A8E"/>
    <w:rsid w:val="007E6494"/>
    <w:rsid w:val="00840A66"/>
    <w:rsid w:val="008E2A69"/>
    <w:rsid w:val="00A43B0A"/>
    <w:rsid w:val="00A6790E"/>
    <w:rsid w:val="00A7096B"/>
    <w:rsid w:val="00A80191"/>
    <w:rsid w:val="00B45E49"/>
    <w:rsid w:val="00BD5AD1"/>
    <w:rsid w:val="00BF16F0"/>
    <w:rsid w:val="00CA0B64"/>
    <w:rsid w:val="00CD25CB"/>
    <w:rsid w:val="00CF2CFC"/>
    <w:rsid w:val="00DB3FBF"/>
    <w:rsid w:val="00DF1AA8"/>
    <w:rsid w:val="00E178DC"/>
    <w:rsid w:val="00EF40A4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B70E-D1B0-409B-A55B-5E519F4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сдаче в аренду индивидуальных сейфов, </vt:lpstr>
    </vt:vector>
  </TitlesOfParts>
  <Company>SB RF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сдаче в аренду индивидуальных сейфов,</dc:title>
  <cp:lastModifiedBy>Попов Алексей Александрович</cp:lastModifiedBy>
  <cp:revision>2</cp:revision>
  <dcterms:created xsi:type="dcterms:W3CDTF">2015-06-11T12:03:00Z</dcterms:created>
  <dcterms:modified xsi:type="dcterms:W3CDTF">2015-06-11T12:03:00Z</dcterms:modified>
</cp:coreProperties>
</file>