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3517"/>
        <w:gridCol w:w="221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25"/>
        <w:gridCol w:w="21"/>
        <w:gridCol w:w="260"/>
        <w:gridCol w:w="280"/>
        <w:gridCol w:w="280"/>
        <w:gridCol w:w="280"/>
      </w:tblGrid>
      <w:tr w:rsidR="002E38A4" w:rsidRPr="00BE70B2" w:rsidTr="00353F63">
        <w:trPr>
          <w:cantSplit/>
          <w:trHeight w:hRule="exact" w:val="284"/>
        </w:trPr>
        <w:tc>
          <w:tcPr>
            <w:tcW w:w="112" w:type="dxa"/>
            <w:hideMark/>
          </w:tcPr>
          <w:p w:rsidR="002E38A4" w:rsidRPr="00BE70B2" w:rsidRDefault="002E38A4" w:rsidP="007D4C5E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407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2E38A4" w:rsidRPr="00BE70B2" w:rsidRDefault="002E38A4" w:rsidP="007D4C5E">
            <w:pPr>
              <w:pStyle w:val="1"/>
              <w:spacing w:before="20" w:line="240" w:lineRule="auto"/>
              <w:ind w:leftChars="66" w:left="132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1" w:name="_Ref404767678"/>
            <w:r w:rsidRPr="00BE70B2">
              <w:rPr>
                <w:rFonts w:ascii="Arial" w:hAnsi="Arial" w:cs="Arial"/>
                <w:sz w:val="16"/>
                <w:szCs w:val="16"/>
              </w:rPr>
              <w:t>Поручение на перевод / прием перевода ценных бумаг</w:t>
            </w:r>
            <w:bookmarkEnd w:id="1"/>
          </w:p>
        </w:tc>
        <w:tc>
          <w:tcPr>
            <w:tcW w:w="5613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2E38A4" w:rsidRPr="00BE70B2" w:rsidTr="00353F63">
        <w:trPr>
          <w:cantSplit/>
          <w:trHeight w:hRule="exact" w:val="284"/>
        </w:trPr>
        <w:tc>
          <w:tcPr>
            <w:tcW w:w="112" w:type="dxa"/>
          </w:tcPr>
          <w:p w:rsidR="002E38A4" w:rsidRPr="00BE70B2" w:rsidRDefault="002E38A4" w:rsidP="007D4C5E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2E38A4" w:rsidRPr="00BE70B2" w:rsidRDefault="002E38A4" w:rsidP="007D4C5E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2E38A4" w:rsidRPr="00BE70B2" w:rsidRDefault="002E38A4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hRule="exact" w:val="113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8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hRule="exact" w:val="284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1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1" w:type="dxa"/>
            <w:gridSpan w:val="8"/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hRule="exact" w:val="113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8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hRule="exact" w:val="284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Код ценных бумаг </w:t>
            </w:r>
          </w:p>
        </w:tc>
        <w:tc>
          <w:tcPr>
            <w:tcW w:w="37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2E38A4" w:rsidRPr="00BE70B2" w:rsidRDefault="002E38A4" w:rsidP="007D4C5E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val="108"/>
        </w:trPr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8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val="230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1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2E38A4" w:rsidRPr="00BE70B2" w:rsidRDefault="002E38A4" w:rsidP="007D4C5E">
            <w:pPr>
              <w:ind w:left="1" w:right="142" w:firstLineChars="88" w:firstLine="132"/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746" w:type="dxa"/>
            <w:gridSpan w:val="15"/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2E38A4" w:rsidRPr="00BE70B2" w:rsidRDefault="002E38A4" w:rsidP="007D4C5E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hRule="exact" w:val="113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8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cantSplit/>
          <w:trHeight w:hRule="exact" w:val="284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2E38A4" w:rsidRPr="00BE70B2" w:rsidTr="00353F63">
        <w:trPr>
          <w:cantSplit/>
          <w:trHeight w:hRule="exact" w:val="113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83" w:type="dxa"/>
            <w:gridSpan w:val="2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2E38A4" w:rsidRPr="00BE70B2" w:rsidRDefault="002E38A4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cantSplit/>
          <w:trHeight w:hRule="exact" w:val="113"/>
        </w:trPr>
        <w:tc>
          <w:tcPr>
            <w:tcW w:w="112" w:type="dxa"/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83" w:type="dxa"/>
            <w:gridSpan w:val="2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2E38A4" w:rsidRPr="00BE70B2" w:rsidRDefault="002E38A4" w:rsidP="002E38A4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Ind w:w="12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6"/>
        <w:gridCol w:w="2749"/>
        <w:gridCol w:w="2749"/>
      </w:tblGrid>
      <w:tr w:rsidR="002E38A4" w:rsidRPr="00BE70B2" w:rsidTr="00353F63">
        <w:trPr>
          <w:trHeight w:val="330"/>
        </w:trPr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2E38A4" w:rsidRPr="00BE70B2" w:rsidRDefault="002E38A4" w:rsidP="007D4C5E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cantSplit/>
          <w:trHeight w:val="538"/>
        </w:trPr>
        <w:tc>
          <w:tcPr>
            <w:tcW w:w="9684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BAD9A" wp14:editId="1FFFA991">
                      <wp:simplePos x="0" y="0"/>
                      <wp:positionH relativeFrom="column">
                        <wp:posOffset>3837523</wp:posOffset>
                      </wp:positionH>
                      <wp:positionV relativeFrom="paragraph">
                        <wp:posOffset>81280</wp:posOffset>
                      </wp:positionV>
                      <wp:extent cx="136478" cy="143301"/>
                      <wp:effectExtent l="0" t="0" r="16510" b="28575"/>
                      <wp:wrapNone/>
                      <wp:docPr id="1593" name="Прямоугольник 1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2E0E6" id="Прямоугольник 1593" o:spid="_x0000_s1026" style="position:absolute;margin-left:302.15pt;margin-top:6.4pt;width:10.7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0WrAIAAGoFAAAOAAAAZHJzL2Uyb0RvYy54bWysVM1q3DAQvhf6DkL3xvb+JI2JNywbUgoh&#10;CU1KzoosxQZZUiXterenQq+BPkIfopfSnzyD9406kr3eJQk9lPogjzQzn2ZG38zR8bISaMGMLZXM&#10;cLIXY8QkVXkp7zL8/vr01WuMrCMyJ0JJluEVs/h48vLFUa1TNlCFEjkzCECkTWud4cI5nUaRpQWr&#10;iN1TmklQcmUq4mBr7qLckBrQKxEN4ng/qpXJtVGUWQunJ60STwI+54y6C84tc0hkGGJzYTVhvfVr&#10;NDki6Z0huihpFwb5hygqUkq4tIc6IY6guSmfQFUlNcoq7vaoqiLFeUlZyAGySeJH2VwVRLOQCxTH&#10;6r5M9v/B0vPFpUFlDm83PhxiJEkFr9R8XX9af2l+NQ/rz8235qH5ub5vfjffmx8omEHVam1TcL7S&#10;l6bbWRB9CZbcVP4PyaFlqPSqrzRbOkThMBnujw6AGhRUyWg4jBP/EtHWWRvr3jBVIS9k2MBDhvqS&#10;xZl1renGxN8l1WkpBJyTVEhUZ3iYHIwDpI+zjSxIbiVYa/WOccgbYhkE4MA4NhMGLQhwhVDKpEta&#10;VUFy1h6PY/i6UHuPELiQAOiROQTSY3cAns1Psds0OnvvygJhe+f4b4G1zr1HuFlJ1ztXpVTmOQAB&#10;WXU3t/YQ/k5pvHir8hWwwqi2XaympyU8wxmx7pIY6A/oJOh5dwELFwrKrToJo0KZj8+de3ugLWgx&#10;qqHfMmw/zIlhGIm3Egh9mIxGvkHDZjQ+GMDG7GpudzVyXs0UPFMC00XTIHp7JzYiN6q6gdEw9beC&#10;ikgKd2eYOrPZzFw7B2C4UDadBjNoSk3cmbzS1IP7qnqaXS9viNEdFx2Q+FxtepOkjyjZ2npPqaZz&#10;p3gZ+Lqta1dvaOhAnG74+Imxuw9W2xE5+QMAAP//AwBQSwMEFAAGAAgAAAAhAJeQ8lTgAAAACQEA&#10;AA8AAABkcnMvZG93bnJldi54bWxMj8FOwzAQRO9I/IO1SNyoTdpEJcSpKFChCnFoizi7yZJE2OsQ&#10;u23g61lOcNvRPM3OFIvRWXHEIXSeNFxPFAikytcdNRped6urOYgQDdXGekINXxhgUZ6fFSav/Yk2&#10;eNzGRnAIhdxoaGPscylD1aIzYeJ7JPbe/eBMZDk0sh7MicOdlYlSmXSmI/7Qmh7vW6w+tgenYZUq&#10;+zy/efp++Fy/pNH55dsjLbW+vBjvbkFEHOMfDL/1uTqU3GnvD1QHYTVkajZllI2EJzCQJSkfew3T&#10;dAayLOT/BeUPAAAA//8DAFBLAQItABQABgAIAAAAIQC2gziS/gAAAOEBAAATAAAAAAAAAAAAAAAA&#10;AAAAAABbQ29udGVudF9UeXBlc10ueG1sUEsBAi0AFAAGAAgAAAAhADj9If/WAAAAlAEAAAsAAAAA&#10;AAAAAAAAAAAALwEAAF9yZWxzLy5yZWxzUEsBAi0AFAAGAAgAAAAhAAXbLRasAgAAagUAAA4AAAAA&#10;AAAAAAAAAAAALgIAAGRycy9lMm9Eb2MueG1sUEsBAi0AFAAGAAgAAAAhAJeQ8lTgAAAACQEAAA8A&#10;AAAAAAAAAAAAAAAABgUAAGRycy9kb3ducmV2LnhtbFBLBQYAAAAABAAEAPMAAAATBgAAAAA=&#10;" filled="f" strokecolor="#1f3763 [1604]" strokeweight=".25pt"/>
                  </w:pict>
                </mc:Fallback>
              </mc:AlternateContent>
            </w:r>
            <w:r w:rsidRPr="00BE70B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8D121" wp14:editId="091BB456">
                      <wp:simplePos x="0" y="0"/>
                      <wp:positionH relativeFrom="column">
                        <wp:posOffset>2179879</wp:posOffset>
                      </wp:positionH>
                      <wp:positionV relativeFrom="paragraph">
                        <wp:posOffset>45417</wp:posOffset>
                      </wp:positionV>
                      <wp:extent cx="136478" cy="143301"/>
                      <wp:effectExtent l="0" t="0" r="16510" b="28575"/>
                      <wp:wrapNone/>
                      <wp:docPr id="1592" name="Прямоугольник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42481" id="Прямоугольник 1592" o:spid="_x0000_s1026" style="position:absolute;margin-left:171.65pt;margin-top:3.6pt;width:10.7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PRrAIAAGoFAAAOAAAAZHJzL2Uyb0RvYy54bWysVM1q3DAQvhf6DkL3xvb+JI2JNywbUgoh&#10;CU1KzoosxQZZUiXterenQq+BPkIfopfSnzyD9406kr3eJQk9lPogjzQzn2ZG38zR8bISaMGMLZXM&#10;cLIXY8QkVXkp7zL8/vr01WuMrCMyJ0JJluEVs/h48vLFUa1TNlCFEjkzCECkTWud4cI5nUaRpQWr&#10;iN1TmklQcmUq4mBr7qLckBrQKxEN4ng/qpXJtVGUWQunJ60STwI+54y6C84tc0hkGGJzYTVhvfVr&#10;NDki6Z0huihpFwb5hygqUkq4tIc6IY6guSmfQFUlNcoq7vaoqiLFeUlZyAGySeJH2VwVRLOQCxTH&#10;6r5M9v/B0vPFpUFlDm83PhxgJEkFr9R8XX9af2l+NQ/rz8235qH5ub5vfjffmx8omEHVam1TcL7S&#10;l6bbWRB9CZbcVP4PyaFlqPSqrzRbOkThMBnujw6AGhRUyWg4jBP/EtHWWRvr3jBVIS9k2MBDhvqS&#10;xZl1renGxN8l1WkpBJyTVEhUZ3iYHIwDpI+zjSxIbiVYa/WOccgbYhkE4MA4NhMGLQhwhVDKpEta&#10;VUFy1h6PY/i6UHuPELiQAOiROQTSY3cAns1Psds0OnvvygJhe+f4b4G1zr1HuFlJ1ztXpVTmOQAB&#10;WXU3t/YQ/k5pvHir8hWwwqi2XaympyU8wxmx7pIY6A/oJOh5dwELFwrKrToJo0KZj8+de3ugLWgx&#10;qqHfMmw/zIlhGIm3Egh9mIxGvkHDZjQ+GMDG7GpudzVyXs0UPFMC00XTIHp7JzYiN6q6gdEw9beC&#10;ikgKd2eYOrPZzFw7B2C4UDadBjNoSk3cmbzS1IP7qnqaXS9viNEdFx2Q+FxtepOkjyjZ2npPqaZz&#10;p3gZ+Lqta1dvaOhAnG74+Imxuw9W2xE5+QMAAP//AwBQSwMEFAAGAAgAAAAhAB3/UUrgAAAACAEA&#10;AA8AAABkcnMvZG93bnJldi54bWxMj8FOwzAQRO9I/IO1SNyoQ9KWNGRTUaCqEOJAQZzd2CQR9jrE&#10;bhv4epYTHEczmnlTLkdnxcEMofOEcDlJQBiqve6oQXh9WV/kIEJUpJX1ZBC+TIBldXpSqkL7Iz2b&#10;wzY2gksoFAqhjbEvpAx1a5wKE98bYu/dD05FlkMj9aCOXO6sTJNkLp3qiBda1Zvb1tQf271DWM8S&#10;+5gvNt93nw9Ps+j86u2eVojnZ+PNNYhoxvgXhl98RoeKmXZ+TzoIi5BNs4yjCFcpCPaz+ZSv7BDS&#10;RQ6yKuX/A9UPAAAA//8DAFBLAQItABQABgAIAAAAIQC2gziS/gAAAOEBAAATAAAAAAAAAAAAAAAA&#10;AAAAAABbQ29udGVudF9UeXBlc10ueG1sUEsBAi0AFAAGAAgAAAAhADj9If/WAAAAlAEAAAsAAAAA&#10;AAAAAAAAAAAALwEAAF9yZWxzLy5yZWxzUEsBAi0AFAAGAAgAAAAhAPzEA9GsAgAAagUAAA4AAAAA&#10;AAAAAAAAAAAALgIAAGRycy9lMm9Eb2MueG1sUEsBAi0AFAAGAAgAAAAhAB3/UUrgAAAACAEAAA8A&#10;AAAAAAAAAAAAAAAABgUAAGRycy9kb3ducmV2LnhtbFBLBQYAAAAABAAEAPMAAAATBgAAAAA=&#10;" filled="f" strokecolor="#1f3763 [1604]" strokeweight=".25pt"/>
                  </w:pict>
                </mc:Fallback>
              </mc:AlternateContent>
            </w:r>
            <w:r w:rsidRPr="00BE70B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1F673" wp14:editId="25B85DE4">
                      <wp:simplePos x="0" y="0"/>
                      <wp:positionH relativeFrom="column">
                        <wp:posOffset>1047257</wp:posOffset>
                      </wp:positionH>
                      <wp:positionV relativeFrom="paragraph">
                        <wp:posOffset>50317</wp:posOffset>
                      </wp:positionV>
                      <wp:extent cx="136478" cy="143301"/>
                      <wp:effectExtent l="0" t="0" r="16510" b="28575"/>
                      <wp:wrapNone/>
                      <wp:docPr id="1591" name="Прямоугольник 1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C2A66" id="Прямоугольник 1591" o:spid="_x0000_s1026" style="position:absolute;margin-left:82.45pt;margin-top:3.95pt;width:10.7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BDrAIAAGoFAAAOAAAAZHJzL2Uyb0RvYy54bWysVM1q3DAQvhf6DkL3xvb+JI2JNywbUgoh&#10;CU1KzoosxQZZUiXterenQq+BPkIfopfSnzyD9406kr3eJQk9lPogjzQzn2ZG38zR8bISaMGMLZXM&#10;cLIXY8QkVXkp7zL8/vr01WuMrCMyJ0JJluEVs/h48vLFUa1TNlCFEjkzCECkTWud4cI5nUaRpQWr&#10;iN1TmklQcmUq4mBr7qLckBrQKxEN4ng/qpXJtVGUWQunJ60STwI+54y6C84tc0hkGGJzYTVhvfVr&#10;NDki6Z0huihpFwb5hygqUkq4tIc6IY6guSmfQFUlNcoq7vaoqiLFeUlZyAGySeJH2VwVRLOQCxTH&#10;6r5M9v/B0vPFpUFlDm83PkwwkqSCV2q+rj+tvzS/mof15+Zb89D8XN83v5vvzQ8UzKBqtbYpOF/p&#10;S9PtLIi+BEtuKv+H5NAyVHrVV5otHaJwmAz3RwdADQqqZDQcxol/iWjrrI11b5iqkBcybOAhQ33J&#10;4sy61nRj4u+S6rQUAs5JKiSqMzxMDsYB0sfZRhYktxKstXrHOOQNsQwCcGAcmwmDFgS4Qihl0iWt&#10;qiA5a4/HMXxdqL1HCFxIAPTIHALpsTsAz+an2G0anb13ZYGwvXP8t8Ba594j3Kyk652rUirzHICA&#10;rLqbW3sIf6c0XrxV+QpYYVTbLlbT0xKe4YxYd0kM9Ad0EvS8u4CFCwXlVp2EUaHMx+fOvT3QFrQY&#10;1dBvGbYf5sQwjMRbCYQ+TEYj36BhMxofDGBjdjW3uxo5r2YKngkYC9EF0ds7sRG5UdUNjIapvxVU&#10;RFK4O8PUmc1m5to5AMOFsuk0mEFTauLO5JWmHtxX1dPsenlDjO646IDE52rTmyR9RMnW1ntKNZ07&#10;xcvA121du3pDQwfidMPHT4zdfbDajsjJHwAAAP//AwBQSwMEFAAGAAgAAAAhAHrHtYffAAAACAEA&#10;AA8AAABkcnMvZG93bnJldi54bWxMj8FOwzAQRO9I/IO1SNyoAzRpGuJUFKgQQhxaEGc3XpIIex1i&#10;tw18PdsTnFajGc2+KRejs2KPQ+g8KbicJCCQam86ahS8va4uchAhajLaekIF3xhgUZ2elLow/kBr&#10;3G9iI7iEQqEVtDH2hZShbtHpMPE9EnsffnA6shwaaQZ94HJn5VWSZNLpjvhDq3u8a7H+3OycglWa&#10;2Od8/vhz//X0kkbnl+8PtFTq/Gy8vQERcYx/YTjiMzpUzLT1OzJBWNbZdM5RBTM+Rz/PpiC2Cq6T&#10;FGRVyv8Dql8AAAD//wMAUEsBAi0AFAAGAAgAAAAhALaDOJL+AAAA4QEAABMAAAAAAAAAAAAAAAAA&#10;AAAAAFtDb250ZW50X1R5cGVzXS54bWxQSwECLQAUAAYACAAAACEAOP0h/9YAAACUAQAACwAAAAAA&#10;AAAAAAAAAAAvAQAAX3JlbHMvLnJlbHNQSwECLQAUAAYACAAAACEAtuIAQ6wCAABqBQAADgAAAAAA&#10;AAAAAAAAAAAuAgAAZHJzL2Uyb0RvYy54bWxQSwECLQAUAAYACAAAACEAese1h98AAAAIAQAADwAA&#10;AAAAAAAAAAAAAAAGBQAAZHJzL2Rvd25yZXYueG1sUEsFBgAAAAAEAAQA8wAAABIGAAAAAA==&#10;" filled="f" strokecolor="#1f3763 [1604]" strokeweight=".25pt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Тип операции           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-231 Перевод       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-240 Прием перевода                 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-220 Перевод между разделами счета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депо</w:t>
            </w: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Содержание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к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и государственный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Регистрационный номер ценных бумаг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E38A4" w:rsidRPr="00BE70B2" w:rsidRDefault="002E38A4" w:rsidP="007D4C5E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Секция реквизитов противоположной стороны по переводу/приему перевода </w:t>
            </w: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2E38A4" w:rsidRPr="00BE70B2" w:rsidRDefault="002E38A4" w:rsidP="007D4C5E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депозитария или регистратора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Номер счета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Владелец счета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Способ доставки сертификатов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968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E38A4" w:rsidRPr="00BE70B2" w:rsidRDefault="002E38A4" w:rsidP="007D4C5E">
            <w:pPr>
              <w:pStyle w:val="2"/>
              <w:ind w:left="142" w:right="142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Секция подписи инициатора (</w:t>
            </w:r>
            <w:proofErr w:type="spell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) операции</w:t>
            </w: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распорядителя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330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Удостоверяющий документ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trHeight w:val="299"/>
        </w:trPr>
        <w:tc>
          <w:tcPr>
            <w:tcW w:w="41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cantSplit/>
          <w:trHeight w:val="547"/>
        </w:trPr>
        <w:tc>
          <w:tcPr>
            <w:tcW w:w="418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353F63">
        <w:trPr>
          <w:cantSplit/>
          <w:trHeight w:val="547"/>
        </w:trPr>
        <w:tc>
          <w:tcPr>
            <w:tcW w:w="4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Выгодоприобретатель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E38A4" w:rsidRPr="00BE70B2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38A4" w:rsidRPr="00BE70B2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38A4" w:rsidRPr="00BE70B2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38A4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38A4" w:rsidRPr="00BE70B2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ПРАВИЛА ЗАПОЛНЕНИЯ</w:t>
      </w:r>
    </w:p>
    <w:p w:rsidR="002E38A4" w:rsidRPr="00BE70B2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Поручения на перевод/прием перевода ценных бумаг</w:t>
      </w:r>
    </w:p>
    <w:p w:rsidR="002E38A4" w:rsidRPr="00321C98" w:rsidRDefault="002E38A4" w:rsidP="002E38A4">
      <w:pPr>
        <w:pStyle w:val="a7"/>
        <w:tabs>
          <w:tab w:val="left" w:pos="0"/>
        </w:tabs>
        <w:ind w:left="142" w:right="142"/>
        <w:rPr>
          <w:rFonts w:ascii="Arial" w:hAnsi="Arial" w:cs="Arial"/>
          <w:color w:val="000000"/>
          <w:sz w:val="4"/>
          <w:szCs w:val="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9"/>
        <w:gridCol w:w="7609"/>
      </w:tblGrid>
      <w:tr w:rsidR="002E38A4" w:rsidRPr="00BE70B2" w:rsidTr="007D4C5E">
        <w:trPr>
          <w:trHeight w:val="218"/>
        </w:trPr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7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2E38A4" w:rsidRPr="00BE70B2" w:rsidTr="007D4C5E">
        <w:trPr>
          <w:trHeight w:val="218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2E38A4" w:rsidRPr="00BE70B2" w:rsidTr="007D4C5E">
        <w:trPr>
          <w:trHeight w:val="218"/>
        </w:trPr>
        <w:tc>
          <w:tcPr>
            <w:tcW w:w="9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</w:tr>
      <w:tr w:rsidR="002E38A4" w:rsidRPr="00BE70B2" w:rsidTr="007D4C5E">
        <w:trPr>
          <w:trHeight w:val="6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Нужное отметить: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IC-231,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если перевод (расход) ценных бумаг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IC-240,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если прием перевода (приход) ценных бумаг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-220,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перевод между разделами одного счета депо</w:t>
            </w:r>
          </w:p>
        </w:tc>
      </w:tr>
      <w:tr w:rsidR="002E38A4" w:rsidRPr="00BE70B2" w:rsidTr="007D4C5E">
        <w:trPr>
          <w:trHeight w:val="218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 юридического лица или ФИО депонента физического лица</w:t>
            </w:r>
          </w:p>
        </w:tc>
      </w:tr>
      <w:tr w:rsidR="002E38A4" w:rsidRPr="00BE70B2" w:rsidTr="007D4C5E">
        <w:trPr>
          <w:trHeight w:val="434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2E38A4" w:rsidRPr="00BE70B2" w:rsidRDefault="002E38A4" w:rsidP="007D4C5E">
            <w:pPr>
              <w:pStyle w:val="a9"/>
              <w:numPr>
                <w:ilvl w:val="0"/>
                <w:numId w:val="2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2E38A4" w:rsidRPr="00BE70B2" w:rsidRDefault="002E38A4" w:rsidP="007D4C5E">
            <w:pPr>
              <w:pStyle w:val="a9"/>
              <w:numPr>
                <w:ilvl w:val="0"/>
                <w:numId w:val="2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2E38A4" w:rsidRPr="00BE70B2" w:rsidRDefault="002E38A4" w:rsidP="007D4C5E">
            <w:pPr>
              <w:pStyle w:val="a9"/>
              <w:numPr>
                <w:ilvl w:val="0"/>
                <w:numId w:val="2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2E38A4" w:rsidRPr="00BE70B2" w:rsidRDefault="002E38A4" w:rsidP="007D4C5E">
            <w:pPr>
              <w:pStyle w:val="a9"/>
              <w:numPr>
                <w:ilvl w:val="0"/>
                <w:numId w:val="2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лицо,</w:t>
            </w:r>
          </w:p>
          <w:p w:rsidR="002E38A4" w:rsidRDefault="002E38A4" w:rsidP="007D4C5E">
            <w:pPr>
              <w:pStyle w:val="a9"/>
              <w:numPr>
                <w:ilvl w:val="0"/>
                <w:numId w:val="2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Наследник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</w:p>
          <w:p w:rsidR="002E38A4" w:rsidRPr="00BE70B2" w:rsidRDefault="002E38A4" w:rsidP="007D4C5E">
            <w:pPr>
              <w:pStyle w:val="a9"/>
              <w:numPr>
                <w:ilvl w:val="0"/>
                <w:numId w:val="2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Представитель</w:t>
            </w:r>
          </w:p>
        </w:tc>
      </w:tr>
      <w:tr w:rsidR="002E38A4" w:rsidRPr="00BE70B2" w:rsidTr="007D4C5E">
        <w:trPr>
          <w:trHeight w:val="15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Содержание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Содержание операции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IC-231 - одно из допустимых:</w:t>
            </w:r>
          </w:p>
          <w:p w:rsidR="002E38A4" w:rsidRPr="00BE70B2" w:rsidRDefault="002E38A4" w:rsidP="007D4C5E">
            <w:pPr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 на счет депо внутри депозитария*</w:t>
            </w:r>
          </w:p>
          <w:p w:rsidR="002E38A4" w:rsidRPr="00BE70B2" w:rsidRDefault="002E38A4" w:rsidP="007D4C5E">
            <w:pPr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 на счет в реестре</w:t>
            </w:r>
          </w:p>
          <w:p w:rsidR="002E38A4" w:rsidRPr="00BE70B2" w:rsidRDefault="002E38A4" w:rsidP="007D4C5E">
            <w:pPr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 на счет в другой депозитарий</w:t>
            </w:r>
          </w:p>
          <w:p w:rsidR="002E38A4" w:rsidRPr="00BE70B2" w:rsidRDefault="002E38A4" w:rsidP="007D4C5E">
            <w:pPr>
              <w:ind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Содержание операции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IC-240 - одно из допустимых:</w:t>
            </w:r>
          </w:p>
          <w:p w:rsidR="002E38A4" w:rsidRPr="00BE70B2" w:rsidRDefault="002E38A4" w:rsidP="007D4C5E">
            <w:pPr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прием перевода со счета депо внутри депозитария</w:t>
            </w:r>
          </w:p>
          <w:p w:rsidR="002E38A4" w:rsidRPr="00BE70B2" w:rsidRDefault="002E38A4" w:rsidP="007D4C5E">
            <w:pPr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прием перевода со счета в реестре</w:t>
            </w:r>
          </w:p>
          <w:p w:rsidR="002E38A4" w:rsidRPr="00BE70B2" w:rsidRDefault="002E38A4" w:rsidP="007D4C5E">
            <w:pPr>
              <w:numPr>
                <w:ilvl w:val="0"/>
                <w:numId w:val="1"/>
              </w:numPr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прием перевода со счета в другом депозитарии</w:t>
            </w:r>
          </w:p>
          <w:p w:rsidR="002E38A4" w:rsidRPr="00BE70B2" w:rsidRDefault="002E38A4" w:rsidP="007D4C5E">
            <w:pPr>
              <w:ind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Содержание операции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IC-220: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 между разделами счета депо в депозитарии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*- используется только для перевода на другой счет депо внутри депозитария.</w:t>
            </w:r>
          </w:p>
        </w:tc>
      </w:tr>
      <w:tr w:rsidR="002E38A4" w:rsidRPr="00BE70B2" w:rsidTr="007D4C5E">
        <w:trPr>
          <w:trHeight w:val="6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к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в свободном формате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При переводе ценных бумаг на счет в реестре 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или  на</w:t>
            </w:r>
            <w:proofErr w:type="gram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счет в другом депозитарии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качестве справочной для депозитария информации указывается - наименование последнего места хранения  (наименование регистратора или депозитария-корреспондента), использованного депонентом при приеме (зачислении) ценных бумаг на обслуживание в депозитарии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(необязательный реквизит)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При переводе/приеме перевода ценных бумаг через центральный депозитарий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указывается наименование раздела на счете депо номинального держателя в центральном депозитарии, на который зачисляются ценные бумаги: основной раздел или раздел длительного хранения, или др., предусмотренный центральным депозитарием</w:t>
            </w:r>
          </w:p>
        </w:tc>
      </w:tr>
      <w:tr w:rsidR="002E38A4" w:rsidRPr="00BE70B2" w:rsidTr="007D4C5E">
        <w:trPr>
          <w:trHeight w:val="6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депо, по которому проводится операция</w:t>
            </w:r>
          </w:p>
        </w:tc>
      </w:tr>
      <w:tr w:rsidR="002E38A4" w:rsidRPr="00BE70B2" w:rsidTr="007D4C5E">
        <w:trPr>
          <w:trHeight w:val="218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</w:tr>
      <w:tr w:rsidR="002E38A4" w:rsidRPr="00BE70B2" w:rsidTr="007D4C5E">
        <w:trPr>
          <w:trHeight w:val="6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и гос. рег. номер ценных бумаг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Полное наименование и государственный регистрационный номер ценных бумаг </w:t>
            </w:r>
          </w:p>
        </w:tc>
      </w:tr>
      <w:tr w:rsidR="002E38A4" w:rsidRPr="00BE70B2" w:rsidTr="007D4C5E">
        <w:trPr>
          <w:trHeight w:val="180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Выбирается один из способов хранения – открытый, закрытый, маркированный по купону, маркированный по номиналу, маркированный по номиналу и купону </w:t>
            </w:r>
          </w:p>
        </w:tc>
      </w:tr>
      <w:tr w:rsidR="002E38A4" w:rsidRPr="00BE70B2" w:rsidTr="007D4C5E">
        <w:trPr>
          <w:trHeight w:val="73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ценных бумаг, участвующих в операции </w:t>
            </w:r>
          </w:p>
        </w:tc>
      </w:tr>
      <w:tr w:rsidR="002E38A4" w:rsidRPr="00BE70B2" w:rsidTr="007D4C5E">
        <w:trPr>
          <w:trHeight w:val="6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 прописью, участвующих в операции</w:t>
            </w:r>
          </w:p>
        </w:tc>
      </w:tr>
      <w:tr w:rsidR="002E38A4" w:rsidRPr="00BE70B2" w:rsidTr="007D4C5E">
        <w:trPr>
          <w:trHeight w:val="107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ценных бумаг в валюте номинала участвующих в операции. Для паев ПИФ и депозитарных расписок данная графа не заполняется или проставляется прочерк.</w:t>
            </w:r>
          </w:p>
        </w:tc>
      </w:tr>
      <w:tr w:rsidR="002E38A4" w:rsidRPr="00BE70B2" w:rsidTr="007D4C5E">
        <w:trPr>
          <w:trHeight w:val="434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ценных бумаг прописью, участвующих в операции. Для паев ПИФ и депозитарных расписок данная графа не заполняется или проставляется прочерк.</w:t>
            </w:r>
          </w:p>
        </w:tc>
      </w:tr>
      <w:tr w:rsidR="002E38A4" w:rsidRPr="00BE70B2" w:rsidTr="007D4C5E">
        <w:trPr>
          <w:trHeight w:val="218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валюты, в которой выражен номинал ЦБ. Для паев ПИФ и депозитарных расписок данная графа не заполняется или проставляется прочерк.</w:t>
            </w:r>
          </w:p>
        </w:tc>
      </w:tr>
      <w:tr w:rsidR="002E38A4" w:rsidRPr="00BE70B2" w:rsidTr="007D4C5E">
        <w:trPr>
          <w:trHeight w:val="218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Основание для изменения прав или формы удостоверения прав собственности на ценные бумаги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При покупке-продаже ценных 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бумаг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-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номер, дата и сумма по договору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При переводе или приеме перевода из другого депозитария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дополнительно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указывается -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номер и дата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междепозитарного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договора другого депозитария с депозитарием  (местом хранения) через который осуществляется перевод.</w:t>
            </w:r>
          </w:p>
        </w:tc>
      </w:tr>
      <w:tr w:rsidR="002E38A4" w:rsidRPr="00BE70B2" w:rsidTr="007D4C5E">
        <w:trPr>
          <w:trHeight w:val="178"/>
        </w:trPr>
        <w:tc>
          <w:tcPr>
            <w:tcW w:w="9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реквизитов противоположной стороны по переводу</w:t>
            </w:r>
          </w:p>
        </w:tc>
      </w:tr>
      <w:tr w:rsidR="002E38A4" w:rsidRPr="00BE70B2" w:rsidTr="007D4C5E">
        <w:trPr>
          <w:trHeight w:val="12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депозитария или регистратора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 переводе (приеме перевода):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внутри депозитария (со счета внутри  депозитария)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–  Депозитарий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  <w:t xml:space="preserve">ПАО Сбербанк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 реестре (со счета в реестре)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– наименование регистратора ценных бумаг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 другом депозитарии (со счета в другом депозитарии)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– наименование депозитария или регистратора через который осуществляется перевод</w:t>
            </w:r>
          </w:p>
        </w:tc>
      </w:tr>
      <w:tr w:rsidR="002E38A4" w:rsidRPr="00BE70B2" w:rsidTr="007D4C5E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Номер счета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</w:rPr>
              <w:t>При переводе: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на счет 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внутри  депозитария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номер счета депо и номер раздела счета депо в Депозитарии ПАО Сбербанк, на который переводятся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цб</w:t>
            </w:r>
            <w:proofErr w:type="spellEnd"/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 реестре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номер и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вид  лицевого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счета (владелец/номинальный держатель/доверительный управляющий или иной вид счета, предусмотренный федеральным законом РФ) в реестре, на который переводятся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цб</w:t>
            </w:r>
            <w:proofErr w:type="spellEnd"/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lastRenderedPageBreak/>
              <w:t>на счет в другом депозитарии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номер счета и номер раздела другого депозитария у регистратора или депозитария-корреспондента, идентификатор другого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депозитария  (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при наличии)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u w:val="single"/>
              </w:rPr>
              <w:t>При приеме перевода ценных бумаг: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со счета </w:t>
            </w:r>
            <w:proofErr w:type="gram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внутри  депозитария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номер счета депо в Депозитарии ПАО Сбербанк, с которого переводятся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цб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со счета в реестре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номер счета в реестре, с которого переводятся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цб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со счета в другом депозитарии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номер счета и номер раздела другого депозитария у регистратора или депозитария-корреспондента, идентификатор другого депозитария  (при наличии) </w:t>
            </w:r>
          </w:p>
        </w:tc>
      </w:tr>
      <w:tr w:rsidR="002E38A4" w:rsidRPr="00BE70B2" w:rsidTr="007D4C5E">
        <w:trPr>
          <w:trHeight w:val="207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 xml:space="preserve">Владелец счета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 переводе (приеме перевода ценных бумаг):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счет, раздел внутри депозитария (со счета внутри депозитария)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наименование или 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депонента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счета депо, реквизиты документа, удостоверяющего личность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 реестре (со счета в реестре)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наименование или 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владельца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счета в реестре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 реестре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реквизиты свидетельства о регистрации (дата, номер, кем выдано) или паспортные данные (серия, номер, дата выдачи, кем выдан) владельца счета в реестре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 счет в другом депозитарии (со счета в другом депозитарии)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контактный телефон  депозитария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(необязательный реквизит),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наименование другого депозитария</w:t>
            </w:r>
          </w:p>
        </w:tc>
      </w:tr>
      <w:tr w:rsidR="002E38A4" w:rsidRPr="00BE70B2" w:rsidTr="007D4C5E">
        <w:trPr>
          <w:trHeight w:val="113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При приеме перевода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/ переводе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ценных бумаг со счета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/ на счет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в реестре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(без участия счета номинального держателя центрального 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депозитария)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или срок исполнения встречного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передаточного распоряжения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реестре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референс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(при наличии).</w:t>
            </w:r>
          </w:p>
          <w:p w:rsidR="002E38A4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При приеме перевода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/ переводе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ценных бумаг со счета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/ на счет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в реестре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(с участием счета номинального держателя центрального </w:t>
            </w:r>
            <w:proofErr w:type="gram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депозитария)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или срок исполнения встречного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передаточного распоряжения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реестре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референс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обязательно.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Референс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указанный в поручении, должен совпадать с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референсом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указанным в передаточном распоряжении, предоставленном в реестр владельцев ценных бумаг.</w:t>
            </w:r>
          </w:p>
          <w:p w:rsidR="002E38A4" w:rsidRDefault="002E38A4" w:rsidP="007D4C5E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F53A0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При приеме перевода / переводе ценных бумаг из / в НКО АО НРД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обязательно указываются дата сделки и дата расчетов,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референс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(при наличии).</w:t>
            </w:r>
            <w:r w:rsidRPr="004D7BD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E38A4" w:rsidRPr="0076745E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321C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Референс</w:t>
            </w:r>
            <w:proofErr w:type="spellEnd"/>
            <w:r w:rsidRPr="0076745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 может содержать более 16 символов, может содержать в произвольном порядке </w:t>
            </w:r>
            <w:r w:rsidRPr="00321C9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заглавные латинские буквы и/или цифры</w:t>
            </w:r>
            <w:r w:rsidRPr="0076745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 Использование других символов не допускается.</w:t>
            </w:r>
          </w:p>
          <w:p w:rsidR="002E38A4" w:rsidRDefault="002E38A4" w:rsidP="007D4C5E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2E38A4" w:rsidRPr="001D7CCE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D7BD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При приеме перевода / переводе ценных из / в другой депозитарий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Euroclear</w:t>
            </w:r>
            <w:proofErr w:type="spellEnd"/>
            <w:r w:rsidRPr="007E2C41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val="en-US"/>
              </w:rPr>
              <w:t>Clearstream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и иные иностранные депозитарии)</w:t>
            </w:r>
            <w:r w:rsidRPr="001D7CC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обязательн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</w:t>
            </w:r>
            <w:r w:rsidRPr="001D7CC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указываются </w:t>
            </w:r>
            <w:r w:rsidRPr="001D7CC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сделки и дата расчетов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2E38A4" w:rsidRPr="00BE70B2" w:rsidTr="007D4C5E">
        <w:trPr>
          <w:trHeight w:val="430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Способ доставки сертификатов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перевод документарных ЦБ: фельдсвязью или службами инкассации одного из 2-х депозитариев, участвующих в операции, или без доставки</w:t>
            </w:r>
          </w:p>
        </w:tc>
      </w:tr>
      <w:tr w:rsidR="002E38A4" w:rsidRPr="00BE70B2" w:rsidTr="007D4C5E">
        <w:trPr>
          <w:trHeight w:val="178"/>
        </w:trPr>
        <w:tc>
          <w:tcPr>
            <w:tcW w:w="9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- указываются сведения о лице/лицах, подписавших поручение.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2E38A4" w:rsidRPr="00BE70B2" w:rsidTr="007D4C5E">
        <w:trPr>
          <w:trHeight w:val="247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</w:tr>
      <w:tr w:rsidR="002E38A4" w:rsidRPr="00BE70B2" w:rsidTr="007D4C5E">
        <w:trPr>
          <w:trHeight w:val="247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2E38A4" w:rsidRPr="00BE70B2" w:rsidTr="007D4C5E">
        <w:trPr>
          <w:trHeight w:val="243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распорядителя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лица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подписавшего поручение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подписавшего  поручение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указывают дополнительно реквизиты доверенности.</w:t>
            </w:r>
          </w:p>
        </w:tc>
      </w:tr>
      <w:tr w:rsidR="002E38A4" w:rsidRPr="00BE70B2" w:rsidTr="007D4C5E">
        <w:trPr>
          <w:trHeight w:val="29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Удостоверяющий документ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При переводе на счет в реестре 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указывают реквизиты свидетельства о регистрации (номер, дату, наименование организации выдавшей свидетельство), в остальных случаях ставят прочерк.</w:t>
            </w:r>
          </w:p>
        </w:tc>
      </w:tr>
      <w:tr w:rsidR="002E38A4" w:rsidRPr="00BE70B2" w:rsidTr="007D4C5E">
        <w:trPr>
          <w:trHeight w:val="273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документа-приложения. Количество листов анкет, карт и реестров,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дополнительных условий исполнения поручения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прилагаемых к поручению (значение по умолчанию = 0)  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38A4" w:rsidRPr="00BE70B2" w:rsidTr="007D4C5E">
        <w:trPr>
          <w:trHeight w:val="29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вышеуказанного лица 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2E38A4" w:rsidRPr="00BE70B2" w:rsidTr="007D4C5E">
        <w:trPr>
          <w:trHeight w:val="295"/>
        </w:trPr>
        <w:tc>
          <w:tcPr>
            <w:tcW w:w="22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Выгодоприобретатель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в случае, когда поручение используется для перевода ценных бумаг, являющихся обеспечением сделок с имуществом между Депонентом и Выгодоприобретателем, на раздел «Блокировано» или с раздела «Блокировано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».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(или подписи - е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сли учредительными документами предусмотрено, что полномочия выступать от имени юридического лица-выгодоприобретателя предоставлены нескольким лицам, действующим совместно), а также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расшифровка подписи (фамилия, имя отчество) выгодоприобретателя (или лица, действующего от его имени). 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Выгодоприбретатели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– 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ставят печать и указывают должность лица, выступающего от имени выгодоприобретателя.</w:t>
            </w:r>
          </w:p>
          <w:p w:rsidR="002E38A4" w:rsidRPr="00BE70B2" w:rsidRDefault="002E38A4" w:rsidP="007D4C5E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2E38A4" w:rsidRDefault="002E38A4" w:rsidP="002E38A4">
      <w:pPr>
        <w:autoSpaceDE/>
        <w:autoSpaceDN/>
        <w:spacing w:after="200"/>
        <w:rPr>
          <w:rFonts w:ascii="Arial" w:hAnsi="Arial" w:cs="Arial"/>
          <w:color w:val="000000"/>
        </w:rPr>
      </w:pPr>
    </w:p>
    <w:p w:rsidR="00D95CFA" w:rsidRPr="00930A8B" w:rsidRDefault="00D95CFA">
      <w:pPr>
        <w:rPr>
          <w:sz w:val="24"/>
        </w:rPr>
      </w:pPr>
    </w:p>
    <w:sectPr w:rsidR="00D95CFA" w:rsidRPr="00930A8B" w:rsidSect="002E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C0" w:rsidRDefault="00EA05C0" w:rsidP="002E38A4">
      <w:r>
        <w:separator/>
      </w:r>
    </w:p>
  </w:endnote>
  <w:endnote w:type="continuationSeparator" w:id="0">
    <w:p w:rsidR="00EA05C0" w:rsidRDefault="00EA05C0" w:rsidP="002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4" w:rsidRDefault="002E38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4" w:rsidRDefault="002E38A4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4" w:rsidRDefault="002E3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C0" w:rsidRDefault="00EA05C0" w:rsidP="002E38A4">
      <w:r>
        <w:separator/>
      </w:r>
    </w:p>
  </w:footnote>
  <w:footnote w:type="continuationSeparator" w:id="0">
    <w:p w:rsidR="00EA05C0" w:rsidRDefault="00EA05C0" w:rsidP="002E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4" w:rsidRDefault="002E38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4" w:rsidRDefault="002E38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4" w:rsidRDefault="002E38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21BE2A55"/>
    <w:multiLevelType w:val="singleLevel"/>
    <w:tmpl w:val="71AC5170"/>
    <w:lvl w:ilvl="0">
      <w:start w:val="14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165C07"/>
    <w:rsid w:val="002E38A4"/>
    <w:rsid w:val="00353F63"/>
    <w:rsid w:val="00930A8B"/>
    <w:rsid w:val="00C631C3"/>
    <w:rsid w:val="00D95CFA"/>
    <w:rsid w:val="00E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7E4A5-0E66-4A20-B496-802A81C8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38A4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E38A4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38A4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8A4"/>
  </w:style>
  <w:style w:type="paragraph" w:styleId="a5">
    <w:name w:val="footer"/>
    <w:basedOn w:val="a"/>
    <w:link w:val="a6"/>
    <w:uiPriority w:val="99"/>
    <w:unhideWhenUsed/>
    <w:rsid w:val="002E3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8A4"/>
  </w:style>
  <w:style w:type="character" w:customStyle="1" w:styleId="10">
    <w:name w:val="Заголовок 1 Знак"/>
    <w:basedOn w:val="a0"/>
    <w:link w:val="1"/>
    <w:uiPriority w:val="99"/>
    <w:rsid w:val="002E38A4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3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38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E38A4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E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E38A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E38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4057E18349262B1D53A608E1667CCD9.dms.sberbank.ru/D4057E18349262B1D53A608E1667CCD9-879695F5B57AFEDAD1E5FC2538A606E7-4F6BF1DDE14B5F24F0D37942F5F685C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22D1-D31F-4792-AE2F-080A55EB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Жанна Валерьевна</dc:creator>
  <cp:keywords/>
  <dc:description/>
  <cp:lastModifiedBy>Рязанцева Ирина Николаевна</cp:lastModifiedBy>
  <cp:revision>2</cp:revision>
  <dcterms:created xsi:type="dcterms:W3CDTF">2023-11-20T12:13:00Z</dcterms:created>
  <dcterms:modified xsi:type="dcterms:W3CDTF">2023-11-20T12:13:00Z</dcterms:modified>
</cp:coreProperties>
</file>