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80" w:rsidRPr="0092083C" w:rsidRDefault="00AC3E80" w:rsidP="00AC3E80">
      <w:pPr>
        <w:pStyle w:val="21"/>
        <w:autoSpaceDE/>
        <w:spacing w:after="120"/>
        <w:rPr>
          <w:b/>
          <w:bCs/>
        </w:rPr>
      </w:pPr>
      <w:bookmarkStart w:id="0" w:name="_GoBack"/>
      <w:bookmarkEnd w:id="0"/>
    </w:p>
    <w:p w:rsidR="00AC3E80" w:rsidRPr="0092083C" w:rsidRDefault="00AC3E80" w:rsidP="00AC3E80">
      <w:pPr>
        <w:pStyle w:val="1"/>
        <w:spacing w:before="0" w:after="120" w:line="240" w:lineRule="auto"/>
        <w:rPr>
          <w:color w:val="auto"/>
          <w:sz w:val="24"/>
          <w:szCs w:val="24"/>
        </w:rPr>
      </w:pPr>
      <w:r w:rsidRPr="0092083C">
        <w:rPr>
          <w:sz w:val="24"/>
          <w:szCs w:val="24"/>
        </w:rPr>
        <w:t>Перечень и порядок оформление документов для открытия и обслуживания счета депо физического лица – резидента.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num" w:pos="709"/>
        </w:tabs>
        <w:autoSpaceDE/>
        <w:autoSpaceDN/>
        <w:spacing w:after="60"/>
        <w:ind w:hanging="651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 xml:space="preserve">Паспорт </w:t>
      </w:r>
      <w:r w:rsidRPr="0092083C">
        <w:rPr>
          <w:sz w:val="24"/>
          <w:szCs w:val="24"/>
        </w:rPr>
        <w:t>или заменяющий его документ.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Заявление на депозитарное обслуживание (СС-12)</w:t>
      </w:r>
      <w:r w:rsidRPr="0092083C">
        <w:rPr>
          <w:sz w:val="24"/>
          <w:szCs w:val="24"/>
        </w:rPr>
        <w:t xml:space="preserve"> в двух экземплярах, оформленное в соответствии с </w:t>
      </w:r>
      <w:r w:rsidRPr="0092083C">
        <w:rPr>
          <w:i/>
          <w:iCs/>
          <w:sz w:val="24"/>
          <w:szCs w:val="24"/>
        </w:rPr>
        <w:t>Условиями</w:t>
      </w:r>
      <w:r w:rsidRPr="0092083C">
        <w:rPr>
          <w:sz w:val="24"/>
          <w:szCs w:val="24"/>
        </w:rPr>
        <w:t xml:space="preserve"> (если не было предоставлено ранее). Если клиент присоединяется к </w:t>
      </w:r>
      <w:r w:rsidRPr="0092083C">
        <w:rPr>
          <w:i/>
          <w:iCs/>
          <w:sz w:val="24"/>
          <w:szCs w:val="24"/>
        </w:rPr>
        <w:t>«Условиям предоставления брокерских</w:t>
      </w:r>
      <w:r w:rsidR="00117EF5" w:rsidRPr="0092083C">
        <w:rPr>
          <w:i/>
          <w:iCs/>
          <w:sz w:val="24"/>
          <w:szCs w:val="24"/>
        </w:rPr>
        <w:t xml:space="preserve"> и иных</w:t>
      </w:r>
      <w:r w:rsidRPr="0092083C">
        <w:rPr>
          <w:i/>
          <w:iCs/>
          <w:sz w:val="24"/>
          <w:szCs w:val="24"/>
        </w:rPr>
        <w:t xml:space="preserve"> услуг </w:t>
      </w:r>
      <w:r w:rsidR="00F50A11" w:rsidRPr="0092083C">
        <w:rPr>
          <w:i/>
          <w:iCs/>
          <w:sz w:val="24"/>
          <w:szCs w:val="24"/>
        </w:rPr>
        <w:t xml:space="preserve">ПАО </w:t>
      </w:r>
      <w:r w:rsidRPr="0092083C">
        <w:rPr>
          <w:i/>
          <w:iCs/>
          <w:sz w:val="24"/>
          <w:szCs w:val="24"/>
        </w:rPr>
        <w:t>Сбербанк,</w:t>
      </w:r>
      <w:r w:rsidRPr="0092083C">
        <w:rPr>
          <w:sz w:val="24"/>
          <w:szCs w:val="24"/>
        </w:rPr>
        <w:t xml:space="preserve"> то вместо данного документа предоставляется «Заявление инвестора на брокерское обслуживание».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Поручение на открытие счета депо</w:t>
      </w:r>
      <w:r w:rsidRPr="0092083C">
        <w:rPr>
          <w:sz w:val="24"/>
          <w:szCs w:val="24"/>
        </w:rPr>
        <w:t xml:space="preserve">, оформленное в соответствии с </w:t>
      </w:r>
      <w:r w:rsidRPr="0092083C">
        <w:rPr>
          <w:i/>
          <w:iCs/>
          <w:sz w:val="24"/>
          <w:szCs w:val="24"/>
        </w:rPr>
        <w:t>Условиями.</w:t>
      </w:r>
      <w:r w:rsidRPr="0092083C">
        <w:rPr>
          <w:sz w:val="24"/>
          <w:szCs w:val="24"/>
        </w:rPr>
        <w:t xml:space="preserve"> Если клиент присоединяется к </w:t>
      </w:r>
      <w:r w:rsidRPr="0092083C">
        <w:rPr>
          <w:i/>
          <w:iCs/>
          <w:sz w:val="24"/>
          <w:szCs w:val="24"/>
        </w:rPr>
        <w:t xml:space="preserve">«Условиям предоставления брокерских </w:t>
      </w:r>
      <w:r w:rsidR="00117EF5" w:rsidRPr="0092083C">
        <w:rPr>
          <w:i/>
          <w:iCs/>
          <w:sz w:val="24"/>
          <w:szCs w:val="24"/>
        </w:rPr>
        <w:t xml:space="preserve">и иных </w:t>
      </w:r>
      <w:r w:rsidRPr="0092083C">
        <w:rPr>
          <w:i/>
          <w:iCs/>
          <w:sz w:val="24"/>
          <w:szCs w:val="24"/>
        </w:rPr>
        <w:t xml:space="preserve">услуг </w:t>
      </w:r>
      <w:r w:rsidR="00F50A11" w:rsidRPr="0092083C">
        <w:rPr>
          <w:sz w:val="24"/>
          <w:szCs w:val="24"/>
        </w:rPr>
        <w:t>ПАО</w:t>
      </w:r>
      <w:r w:rsidR="00F50A11" w:rsidRPr="0092083C">
        <w:rPr>
          <w:i/>
          <w:iCs/>
          <w:sz w:val="24"/>
          <w:szCs w:val="24"/>
        </w:rPr>
        <w:t xml:space="preserve"> </w:t>
      </w:r>
      <w:r w:rsidRPr="0092083C">
        <w:rPr>
          <w:i/>
          <w:iCs/>
          <w:sz w:val="24"/>
          <w:szCs w:val="24"/>
        </w:rPr>
        <w:t>Сбербанк</w:t>
      </w:r>
      <w:r w:rsidRPr="0092083C">
        <w:rPr>
          <w:sz w:val="24"/>
          <w:szCs w:val="24"/>
        </w:rPr>
        <w:t xml:space="preserve"> и открывает счет депо «Владелец» оформление данного документа не требуется.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Анкета физического лица</w:t>
      </w:r>
      <w:r w:rsidRPr="0092083C">
        <w:rPr>
          <w:sz w:val="24"/>
          <w:szCs w:val="24"/>
        </w:rPr>
        <w:t xml:space="preserve">, оформленная в соответствии с </w:t>
      </w:r>
      <w:r w:rsidRPr="0092083C">
        <w:rPr>
          <w:i/>
          <w:iCs/>
          <w:sz w:val="24"/>
          <w:szCs w:val="24"/>
        </w:rPr>
        <w:t xml:space="preserve">Условиями, </w:t>
      </w:r>
      <w:r w:rsidRPr="0092083C">
        <w:rPr>
          <w:sz w:val="24"/>
          <w:szCs w:val="24"/>
        </w:rPr>
        <w:t>и</w:t>
      </w:r>
      <w:r w:rsidRPr="0092083C">
        <w:rPr>
          <w:b/>
          <w:iCs/>
          <w:sz w:val="24"/>
          <w:szCs w:val="24"/>
        </w:rPr>
        <w:t xml:space="preserve"> Приложение 1 к Анкете</w:t>
      </w:r>
      <w:r w:rsidRPr="0092083C">
        <w:rPr>
          <w:i/>
          <w:iCs/>
          <w:sz w:val="24"/>
          <w:szCs w:val="24"/>
        </w:rPr>
        <w:t xml:space="preserve"> </w:t>
      </w:r>
      <w:r w:rsidRPr="0092083C">
        <w:rPr>
          <w:iCs/>
          <w:sz w:val="24"/>
          <w:szCs w:val="24"/>
        </w:rPr>
        <w:t>(«</w:t>
      </w:r>
      <w:r w:rsidRPr="0092083C">
        <w:rPr>
          <w:b/>
          <w:iCs/>
          <w:sz w:val="24"/>
          <w:szCs w:val="24"/>
        </w:rPr>
        <w:t>Анкета физического лица (дополнительные сведения</w:t>
      </w:r>
      <w:r w:rsidRPr="0092083C">
        <w:rPr>
          <w:iCs/>
          <w:sz w:val="24"/>
          <w:szCs w:val="24"/>
        </w:rPr>
        <w:t xml:space="preserve">)») по форме, </w:t>
      </w:r>
      <w:r w:rsidRPr="0092083C">
        <w:rPr>
          <w:sz w:val="24"/>
          <w:szCs w:val="24"/>
        </w:rPr>
        <w:t>установленной</w:t>
      </w:r>
      <w:r w:rsidRPr="0092083C">
        <w:rPr>
          <w:iCs/>
          <w:sz w:val="24"/>
          <w:szCs w:val="24"/>
        </w:rPr>
        <w:t xml:space="preserve"> Банком и опубликованной на официальном Интернет-сайте Банка.</w:t>
      </w:r>
      <w:r w:rsidRPr="0092083C">
        <w:rPr>
          <w:i/>
          <w:iCs/>
          <w:sz w:val="24"/>
          <w:szCs w:val="24"/>
        </w:rPr>
        <w:t xml:space="preserve"> </w:t>
      </w:r>
    </w:p>
    <w:p w:rsidR="00AC3E80" w:rsidRPr="0092083C" w:rsidRDefault="00AC3E80" w:rsidP="00AC3E80">
      <w:pPr>
        <w:pStyle w:val="22"/>
        <w:spacing w:before="0" w:after="60"/>
        <w:ind w:left="357" w:firstLine="0"/>
        <w:rPr>
          <w:iCs/>
        </w:rPr>
      </w:pPr>
      <w:r w:rsidRPr="0092083C">
        <w:rPr>
          <w:iCs/>
        </w:rPr>
        <w:t xml:space="preserve">Если клиент присоединяется к </w:t>
      </w:r>
      <w:r w:rsidRPr="0092083C">
        <w:rPr>
          <w:i/>
          <w:iCs/>
        </w:rPr>
        <w:t>«Условиям предоставления брокерских</w:t>
      </w:r>
      <w:r w:rsidR="00117EF5" w:rsidRPr="0092083C">
        <w:rPr>
          <w:i/>
          <w:iCs/>
        </w:rPr>
        <w:t xml:space="preserve"> и иных</w:t>
      </w:r>
      <w:r w:rsidRPr="0092083C">
        <w:rPr>
          <w:i/>
          <w:iCs/>
        </w:rPr>
        <w:t xml:space="preserve"> услуг </w:t>
      </w:r>
      <w:r w:rsidRPr="0092083C">
        <w:rPr>
          <w:i/>
          <w:iCs/>
        </w:rPr>
        <w:br/>
      </w:r>
      <w:r w:rsidR="00F50A11" w:rsidRPr="0092083C">
        <w:rPr>
          <w:i/>
          <w:iCs/>
        </w:rPr>
        <w:t xml:space="preserve">ПАО </w:t>
      </w:r>
      <w:r w:rsidRPr="0092083C">
        <w:rPr>
          <w:i/>
          <w:iCs/>
        </w:rPr>
        <w:t>Сбербанк</w:t>
      </w:r>
      <w:r w:rsidRPr="0092083C">
        <w:rPr>
          <w:iCs/>
        </w:rPr>
        <w:t>, то вместо данных документов предоставляется анкета, оформленная в соответствии с требованиями  указанного документа.</w:t>
      </w:r>
    </w:p>
    <w:p w:rsidR="00AC3E80" w:rsidRPr="0092083C" w:rsidRDefault="00AC3E80" w:rsidP="00AC3E80">
      <w:pPr>
        <w:pStyle w:val="22"/>
        <w:spacing w:before="0" w:after="60"/>
        <w:ind w:left="357" w:firstLine="0"/>
      </w:pPr>
      <w:r w:rsidRPr="0092083C">
        <w:rPr>
          <w:b/>
          <w:bCs/>
        </w:rPr>
        <w:t xml:space="preserve">Индивидуальный предприниматель </w:t>
      </w:r>
      <w:r w:rsidRPr="0092083C">
        <w:t xml:space="preserve"> дополнительно предоставляет следующие документы (копии, заверенные в установленном порядке): 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vanish/>
          <w:sz w:val="24"/>
          <w:szCs w:val="24"/>
          <w:specVanish/>
        </w:rPr>
      </w:pPr>
      <w:r w:rsidRPr="0092083C">
        <w:rPr>
          <w:b/>
          <w:bCs/>
          <w:sz w:val="24"/>
          <w:szCs w:val="24"/>
        </w:rPr>
        <w:t>Документ, подтверждающий государственную регистрацию</w:t>
      </w:r>
    </w:p>
    <w:p w:rsidR="00AC3E80" w:rsidRPr="0092083C" w:rsidRDefault="00AC3E80" w:rsidP="00AC3E80">
      <w:pPr>
        <w:spacing w:after="60"/>
        <w:ind w:left="107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sz w:val="24"/>
          <w:szCs w:val="24"/>
        </w:rPr>
      </w:pPr>
      <w:r w:rsidRPr="0092083C">
        <w:rPr>
          <w:b/>
          <w:sz w:val="24"/>
          <w:szCs w:val="24"/>
        </w:rPr>
        <w:t>Д</w:t>
      </w:r>
      <w:r w:rsidRPr="0092083C">
        <w:rPr>
          <w:b/>
          <w:bCs/>
          <w:sz w:val="24"/>
          <w:szCs w:val="24"/>
        </w:rPr>
        <w:t>окумент, подтверждающий регистрацию в налоговом органе</w:t>
      </w:r>
      <w:r w:rsidRPr="0092083C">
        <w:rPr>
          <w:sz w:val="24"/>
          <w:szCs w:val="24"/>
        </w:rPr>
        <w:t>.</w:t>
      </w:r>
    </w:p>
    <w:p w:rsidR="00AC3E80" w:rsidRPr="0092083C" w:rsidRDefault="00AC3E80" w:rsidP="00AC3E80">
      <w:pPr>
        <w:numPr>
          <w:ilvl w:val="0"/>
          <w:numId w:val="25"/>
        </w:numPr>
        <w:tabs>
          <w:tab w:val="left" w:pos="709"/>
        </w:tabs>
        <w:autoSpaceDE/>
        <w:autoSpaceDN/>
        <w:spacing w:after="60"/>
        <w:ind w:left="709" w:hanging="283"/>
        <w:jc w:val="both"/>
        <w:rPr>
          <w:sz w:val="24"/>
          <w:szCs w:val="24"/>
        </w:rPr>
      </w:pPr>
      <w:r w:rsidRPr="0092083C">
        <w:rPr>
          <w:bCs/>
          <w:sz w:val="24"/>
          <w:szCs w:val="24"/>
        </w:rPr>
        <w:t>Документы</w:t>
      </w:r>
      <w:r w:rsidRPr="0092083C">
        <w:rPr>
          <w:sz w:val="24"/>
          <w:szCs w:val="24"/>
        </w:rPr>
        <w:t>, необходимые для проведения Банком идентификации Депонента, его выгодоприобретателей в соответствии с законодательством Российской Федерации в области противодействия легализации доходов, полученных преступным путем, и финансировани</w:t>
      </w:r>
      <w:r w:rsidR="00B57ECF">
        <w:rPr>
          <w:sz w:val="24"/>
          <w:szCs w:val="24"/>
        </w:rPr>
        <w:t>ю</w:t>
      </w:r>
      <w:r w:rsidRPr="0092083C">
        <w:rPr>
          <w:sz w:val="24"/>
          <w:szCs w:val="24"/>
        </w:rPr>
        <w:t xml:space="preserve"> терроризма, а также в соответствии с внутренними документами/политикой, утвержденными в Банке:</w:t>
      </w:r>
    </w:p>
    <w:p w:rsidR="00AC3E80" w:rsidRPr="0092083C" w:rsidRDefault="00AC3E80" w:rsidP="00AC3E80">
      <w:pPr>
        <w:numPr>
          <w:ilvl w:val="0"/>
          <w:numId w:val="26"/>
        </w:numPr>
        <w:tabs>
          <w:tab w:val="clear" w:pos="1077"/>
          <w:tab w:val="num" w:pos="1276"/>
        </w:tabs>
        <w:autoSpaceDE/>
        <w:autoSpaceDN/>
        <w:spacing w:after="120"/>
        <w:ind w:left="1276" w:hanging="142"/>
        <w:contextualSpacing/>
        <w:jc w:val="both"/>
        <w:rPr>
          <w:sz w:val="24"/>
          <w:szCs w:val="24"/>
        </w:rPr>
      </w:pPr>
      <w:r w:rsidRPr="0092083C">
        <w:rPr>
          <w:b/>
          <w:sz w:val="24"/>
          <w:szCs w:val="24"/>
        </w:rPr>
        <w:t>Информационные сведения Клиента</w:t>
      </w:r>
      <w:r w:rsidRPr="0092083C">
        <w:rPr>
          <w:sz w:val="24"/>
          <w:szCs w:val="24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92083C" w:rsidRDefault="00AC3E80" w:rsidP="00AC3E80">
      <w:pPr>
        <w:numPr>
          <w:ilvl w:val="0"/>
          <w:numId w:val="26"/>
        </w:numPr>
        <w:tabs>
          <w:tab w:val="clear" w:pos="1077"/>
          <w:tab w:val="num" w:pos="1276"/>
        </w:tabs>
        <w:autoSpaceDE/>
        <w:autoSpaceDN/>
        <w:spacing w:after="120"/>
        <w:ind w:left="1276" w:hanging="142"/>
        <w:jc w:val="both"/>
        <w:rPr>
          <w:b/>
          <w:bCs/>
          <w:sz w:val="24"/>
          <w:szCs w:val="24"/>
        </w:rPr>
      </w:pPr>
      <w:r w:rsidRPr="0092083C">
        <w:rPr>
          <w:sz w:val="24"/>
          <w:szCs w:val="24"/>
        </w:rPr>
        <w:t>Заверенные индивидуальным предпринимателем документы/копии документов,  подтверждающие сведения, указанные в Информационных сведениях Клиента</w:t>
      </w:r>
      <w:r w:rsidRPr="0092083C">
        <w:rPr>
          <w:b/>
          <w:bCs/>
          <w:sz w:val="24"/>
          <w:szCs w:val="24"/>
        </w:rPr>
        <w:t>.</w:t>
      </w:r>
    </w:p>
    <w:p w:rsidR="00AC3E80" w:rsidRPr="0092083C" w:rsidRDefault="00AC3E80" w:rsidP="00AC3E80">
      <w:pPr>
        <w:spacing w:after="120"/>
        <w:jc w:val="center"/>
        <w:rPr>
          <w:b/>
          <w:bCs/>
          <w:sz w:val="24"/>
          <w:szCs w:val="24"/>
        </w:rPr>
      </w:pPr>
      <w:r w:rsidRPr="0092083C">
        <w:rPr>
          <w:b/>
          <w:sz w:val="24"/>
          <w:szCs w:val="24"/>
        </w:rPr>
        <w:t>Порядок оформления документов</w:t>
      </w:r>
    </w:p>
    <w:p w:rsidR="00AC3E80" w:rsidRPr="0092083C" w:rsidRDefault="00AC3E80" w:rsidP="00AC3E80">
      <w:pPr>
        <w:pStyle w:val="22"/>
        <w:tabs>
          <w:tab w:val="left" w:pos="567"/>
        </w:tabs>
        <w:spacing w:before="0" w:after="120"/>
        <w:ind w:firstLine="0"/>
      </w:pPr>
      <w:r w:rsidRPr="0092083C">
        <w:tab/>
        <w:t xml:space="preserve">Для открытия счета депо в Депозитарий (Банк) физическое лицо предъявляет паспорт (или документ, его заменяющий), а также оригиналы или нотариально удостоверенные копии документов, указанных в </w:t>
      </w:r>
      <w:r w:rsidRPr="0092083C">
        <w:rPr>
          <w:b/>
          <w:i/>
        </w:rPr>
        <w:t>пунктах 5 и 6</w:t>
      </w:r>
      <w:r w:rsidRPr="0092083C">
        <w:t>. Должностное лицо Банка (Депозитария) или иное уполномоченное Банком лицо, являющееся работником Банка, вправе заверить копии вышеуказанных документов, предоставленных Клиентом для открытия счета депо.</w:t>
      </w:r>
    </w:p>
    <w:p w:rsidR="00AC3E80" w:rsidRPr="0092083C" w:rsidRDefault="00AC3E80" w:rsidP="00AC3E80">
      <w:pPr>
        <w:adjustRightInd w:val="0"/>
        <w:spacing w:after="120"/>
        <w:ind w:firstLine="567"/>
        <w:jc w:val="both"/>
        <w:rPr>
          <w:bCs/>
          <w:iCs/>
          <w:sz w:val="24"/>
          <w:szCs w:val="24"/>
        </w:rPr>
      </w:pPr>
      <w:r w:rsidRPr="0092083C">
        <w:rPr>
          <w:iCs/>
          <w:sz w:val="24"/>
          <w:szCs w:val="24"/>
        </w:rPr>
        <w:t>Если Депоненту открыт счет депо</w:t>
      </w:r>
      <w:r w:rsidRPr="0092083C">
        <w:rPr>
          <w:b/>
          <w:bCs/>
          <w:iCs/>
          <w:sz w:val="24"/>
          <w:szCs w:val="24"/>
        </w:rPr>
        <w:t xml:space="preserve"> в данном Месте обслуживания, то для открытия нового счета депо Депонент оформляет только Поручение на открытие счета депо. </w:t>
      </w:r>
      <w:r w:rsidRPr="0092083C">
        <w:rPr>
          <w:bCs/>
          <w:iCs/>
          <w:sz w:val="24"/>
          <w:szCs w:val="24"/>
        </w:rPr>
        <w:t xml:space="preserve">Повторное предоставление документов, указанных в </w:t>
      </w:r>
      <w:r w:rsidRPr="0092083C">
        <w:rPr>
          <w:b/>
          <w:bCs/>
          <w:i/>
          <w:iCs/>
          <w:sz w:val="24"/>
          <w:szCs w:val="24"/>
        </w:rPr>
        <w:t>пунктах 5-7</w:t>
      </w:r>
      <w:r w:rsidRPr="0092083C">
        <w:rPr>
          <w:bCs/>
          <w:iCs/>
          <w:sz w:val="24"/>
          <w:szCs w:val="24"/>
        </w:rPr>
        <w:t>, не требуется.</w:t>
      </w:r>
    </w:p>
    <w:p w:rsidR="00AC3E80" w:rsidRPr="007B6C7F" w:rsidRDefault="00AC3E80" w:rsidP="00AC3E80">
      <w:pPr>
        <w:spacing w:after="120"/>
        <w:ind w:firstLine="567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 xml:space="preserve">В случае если индивидуальным предпринимателем уже были переданы в Банк для открытия и обслуживания других счетов </w:t>
      </w:r>
      <w:r w:rsidRPr="0092083C">
        <w:rPr>
          <w:bCs/>
          <w:sz w:val="24"/>
          <w:szCs w:val="24"/>
        </w:rPr>
        <w:t>документы</w:t>
      </w:r>
      <w:r w:rsidRPr="0092083C">
        <w:rPr>
          <w:b/>
          <w:bCs/>
          <w:sz w:val="24"/>
          <w:szCs w:val="24"/>
        </w:rPr>
        <w:t>,</w:t>
      </w:r>
      <w:r w:rsidRPr="0092083C">
        <w:rPr>
          <w:sz w:val="24"/>
          <w:szCs w:val="24"/>
        </w:rPr>
        <w:t xml:space="preserve"> указанные в </w:t>
      </w:r>
      <w:r w:rsidRPr="0092083C">
        <w:rPr>
          <w:b/>
          <w:bCs/>
          <w:i/>
          <w:iCs/>
          <w:sz w:val="24"/>
          <w:szCs w:val="24"/>
        </w:rPr>
        <w:t xml:space="preserve">пунктах 5 и 6, </w:t>
      </w:r>
      <w:r w:rsidRPr="0092083C">
        <w:rPr>
          <w:bCs/>
          <w:iCs/>
          <w:sz w:val="24"/>
          <w:szCs w:val="24"/>
        </w:rPr>
        <w:t>а также сведения и документы, указанные в</w:t>
      </w:r>
      <w:r w:rsidRPr="0092083C">
        <w:rPr>
          <w:b/>
          <w:bCs/>
          <w:i/>
          <w:iCs/>
          <w:sz w:val="24"/>
          <w:szCs w:val="24"/>
        </w:rPr>
        <w:t xml:space="preserve"> пункте 7</w:t>
      </w:r>
      <w:r w:rsidRPr="0092083C">
        <w:rPr>
          <w:rStyle w:val="af6"/>
          <w:b/>
          <w:bCs/>
          <w:i/>
          <w:iCs/>
          <w:sz w:val="24"/>
          <w:szCs w:val="24"/>
        </w:rPr>
        <w:footnoteReference w:customMarkFollows="1" w:id="1"/>
        <w:t>*</w:t>
      </w:r>
      <w:r w:rsidRPr="0092083C">
        <w:rPr>
          <w:b/>
          <w:bCs/>
          <w:i/>
          <w:iCs/>
          <w:sz w:val="24"/>
          <w:szCs w:val="24"/>
        </w:rPr>
        <w:t xml:space="preserve">, </w:t>
      </w:r>
      <w:r w:rsidRPr="0092083C">
        <w:rPr>
          <w:bCs/>
          <w:iCs/>
          <w:sz w:val="24"/>
          <w:szCs w:val="24"/>
        </w:rPr>
        <w:t xml:space="preserve">ИП может воспользоваться этими </w:t>
      </w:r>
      <w:r w:rsidRPr="0092083C">
        <w:rPr>
          <w:bCs/>
          <w:iCs/>
          <w:sz w:val="24"/>
          <w:szCs w:val="24"/>
        </w:rPr>
        <w:lastRenderedPageBreak/>
        <w:t xml:space="preserve">документами для открытия Счета депо, </w:t>
      </w:r>
      <w:r w:rsidRPr="0092083C">
        <w:rPr>
          <w:sz w:val="24"/>
          <w:szCs w:val="24"/>
        </w:rPr>
        <w:t xml:space="preserve">представив в Депозитарий (по Месту обслуживания) </w:t>
      </w:r>
      <w:r w:rsidRPr="0092083C">
        <w:rPr>
          <w:b/>
          <w:bCs/>
          <w:sz w:val="24"/>
          <w:szCs w:val="24"/>
        </w:rPr>
        <w:t xml:space="preserve">Заявление на прием комплекта документов. </w:t>
      </w:r>
      <w:r w:rsidRPr="0092083C">
        <w:rPr>
          <w:bCs/>
          <w:sz w:val="24"/>
          <w:szCs w:val="24"/>
        </w:rPr>
        <w:t>П</w:t>
      </w:r>
      <w:r w:rsidRPr="0092083C">
        <w:rPr>
          <w:sz w:val="24"/>
          <w:szCs w:val="24"/>
        </w:rPr>
        <w:t>овторное предоставление вышеуказанных документов не требуется. Данный порядок действует и в случае изменения анкетных данных по открытым счетам депо</w:t>
      </w:r>
      <w:r w:rsidR="00AE5D57">
        <w:rPr>
          <w:sz w:val="24"/>
          <w:szCs w:val="24"/>
        </w:rPr>
        <w:t xml:space="preserve"> и </w:t>
      </w:r>
      <w:r w:rsidR="00AE5D57" w:rsidRPr="0092083C">
        <w:rPr>
          <w:sz w:val="24"/>
          <w:szCs w:val="24"/>
        </w:rPr>
        <w:t>при условии отсутствия изменений в ранее предоставленные документы и сведения.</w:t>
      </w:r>
    </w:p>
    <w:p w:rsidR="00AB37D5" w:rsidRPr="0092083C" w:rsidRDefault="00AB37D5" w:rsidP="00AB37D5">
      <w:pPr>
        <w:spacing w:after="120"/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В случае если документы для </w:t>
      </w:r>
      <w:r w:rsidR="00AA3837" w:rsidRPr="0092083C">
        <w:rPr>
          <w:sz w:val="24"/>
          <w:szCs w:val="24"/>
        </w:rPr>
        <w:t>изменения анкетных данных Депонента-физического лица</w:t>
      </w:r>
      <w:r w:rsidRPr="0092083C">
        <w:rPr>
          <w:sz w:val="24"/>
          <w:szCs w:val="24"/>
        </w:rPr>
        <w:t xml:space="preserve"> направляются в Депозитарий заказным письмом с уведомлением, подписи клиента в Анкете физического лица и Приложении 1 к Анкете («Анкета физического лица (дополнительные сведения)») должны быть заверены нотариально.</w:t>
      </w:r>
    </w:p>
    <w:p w:rsidR="00AB37D5" w:rsidRPr="0092083C" w:rsidRDefault="00AB37D5" w:rsidP="00AB37D5">
      <w:pPr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При открытии третьим лицом счета депо физическому лицу по доверенности, доверенное лицо предоставляет в Депозитарий:</w:t>
      </w:r>
    </w:p>
    <w:p w:rsidR="00AB37D5" w:rsidRPr="0092083C" w:rsidRDefault="00AB37D5" w:rsidP="00AB37D5">
      <w:pPr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-</w:t>
      </w:r>
      <w:r w:rsidRPr="0092083C">
        <w:rPr>
          <w:sz w:val="24"/>
          <w:szCs w:val="24"/>
        </w:rPr>
        <w:tab/>
        <w:t>доверенность на свое имя и Анкету физического лица с Приложением 1 к Анкете («Анкета физического лица (дополнительные сведения)»), на имя которого открывается счет депо,  заверенные нотариально;</w:t>
      </w:r>
    </w:p>
    <w:p w:rsidR="00D964F9" w:rsidRPr="0092083C" w:rsidRDefault="00D964F9" w:rsidP="00AB37D5">
      <w:pPr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- нотариально заверенную копию паспорта Депонента-физического лица;</w:t>
      </w:r>
    </w:p>
    <w:p w:rsidR="00AB37D5" w:rsidRPr="0092083C" w:rsidRDefault="00AB37D5" w:rsidP="00AB37D5">
      <w:pPr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-</w:t>
      </w:r>
      <w:r w:rsidRPr="0092083C">
        <w:rPr>
          <w:sz w:val="24"/>
          <w:szCs w:val="24"/>
        </w:rPr>
        <w:tab/>
        <w:t>анкету распорядителя-доверенного лица;</w:t>
      </w:r>
    </w:p>
    <w:p w:rsidR="00AB37D5" w:rsidRPr="0092083C" w:rsidRDefault="00AB37D5" w:rsidP="00AB37D5">
      <w:pPr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-</w:t>
      </w:r>
      <w:r w:rsidRPr="0092083C">
        <w:rPr>
          <w:sz w:val="24"/>
          <w:szCs w:val="24"/>
        </w:rPr>
        <w:tab/>
        <w:t>документы, указанные в пунктах 2 и 3, могут быть подписаны доверенным лицом от имени депонента с указанием перед подписью "По доверенности № ___ от _______ ".</w:t>
      </w:r>
    </w:p>
    <w:p w:rsidR="00AB37D5" w:rsidRPr="0092083C" w:rsidRDefault="00AB37D5" w:rsidP="00AC3E80">
      <w:pPr>
        <w:spacing w:after="120"/>
        <w:ind w:firstLine="567"/>
        <w:jc w:val="both"/>
        <w:rPr>
          <w:sz w:val="24"/>
          <w:szCs w:val="24"/>
        </w:rPr>
      </w:pPr>
    </w:p>
    <w:p w:rsidR="00AC3E80" w:rsidRPr="0092083C" w:rsidRDefault="00AC3E80" w:rsidP="00AC3E80">
      <w:pPr>
        <w:spacing w:after="120"/>
        <w:ind w:firstLine="426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 xml:space="preserve">Бланки документов Депозитария </w:t>
      </w:r>
      <w:r w:rsidRPr="0092083C">
        <w:rPr>
          <w:sz w:val="24"/>
          <w:szCs w:val="24"/>
        </w:rPr>
        <w:t>могут быть получены клиентом на официальном Интернет-сайте Банка или у работников Банка по Месту обслуживания.</w:t>
      </w:r>
    </w:p>
    <w:p w:rsidR="00AC3E80" w:rsidRPr="0092083C" w:rsidRDefault="00AC3E80" w:rsidP="00AC3E80">
      <w:pPr>
        <w:pStyle w:val="24"/>
        <w:numPr>
          <w:ilvl w:val="12"/>
          <w:numId w:val="0"/>
        </w:numPr>
        <w:ind w:firstLine="426"/>
        <w:jc w:val="both"/>
        <w:rPr>
          <w:i/>
          <w:iCs/>
          <w:sz w:val="24"/>
          <w:szCs w:val="24"/>
        </w:rPr>
      </w:pPr>
      <w:r w:rsidRPr="0092083C">
        <w:rPr>
          <w:b w:val="0"/>
          <w:i/>
          <w:iCs/>
          <w:sz w:val="24"/>
          <w:szCs w:val="24"/>
        </w:rPr>
        <w:t>Бланки документов Депозитария могут быть заполнены работником Банка по Месту обслуживания</w:t>
      </w:r>
      <w:r w:rsidRPr="0092083C">
        <w:rPr>
          <w:i/>
          <w:iCs/>
          <w:sz w:val="24"/>
          <w:szCs w:val="24"/>
        </w:rPr>
        <w:t xml:space="preserve"> и предоставлены для проверки и подписи клиенту - для этого кроме предоставления паспорта (документа его заменяющего) клиенту необходимо сообщить работнику Банка по Месту обслуживания</w:t>
      </w:r>
      <w:r w:rsidRPr="0092083C">
        <w:rPr>
          <w:b w:val="0"/>
          <w:bCs w:val="0"/>
          <w:i/>
          <w:iCs/>
          <w:sz w:val="24"/>
          <w:szCs w:val="24"/>
        </w:rPr>
        <w:t>: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реквизиты счета (счетов) для перечисления доходов по ценным бумагам;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почтовый адрес;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способы взаимодействия с Депозитарием;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0" w:firstLine="425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ИНН (при наличии).   </w:t>
      </w:r>
    </w:p>
    <w:p w:rsidR="00AC3E80" w:rsidRPr="0092083C" w:rsidRDefault="00AC3E80" w:rsidP="00AC3E80">
      <w:pPr>
        <w:pStyle w:val="31"/>
        <w:rPr>
          <w:sz w:val="24"/>
          <w:szCs w:val="24"/>
        </w:rPr>
      </w:pPr>
    </w:p>
    <w:p w:rsidR="00AC3E80" w:rsidRPr="0092083C" w:rsidRDefault="00AC3E80" w:rsidP="00AC3E80">
      <w:pPr>
        <w:pStyle w:val="31"/>
        <w:rPr>
          <w:sz w:val="24"/>
          <w:szCs w:val="24"/>
        </w:rPr>
      </w:pPr>
      <w:r w:rsidRPr="0092083C">
        <w:rPr>
          <w:sz w:val="24"/>
          <w:szCs w:val="24"/>
        </w:rPr>
        <w:br w:type="page"/>
      </w:r>
    </w:p>
    <w:p w:rsidR="00AC3E80" w:rsidRPr="0092083C" w:rsidRDefault="00AC3E80" w:rsidP="00AC3E80">
      <w:pPr>
        <w:spacing w:after="120"/>
        <w:rPr>
          <w:b/>
          <w:bCs/>
          <w:sz w:val="24"/>
          <w:szCs w:val="24"/>
        </w:rPr>
      </w:pPr>
    </w:p>
    <w:p w:rsidR="00AC3E80" w:rsidRPr="0092083C" w:rsidRDefault="00AC3E80" w:rsidP="00AC3E80">
      <w:pPr>
        <w:pStyle w:val="1"/>
        <w:spacing w:before="0" w:after="120" w:line="240" w:lineRule="auto"/>
        <w:rPr>
          <w:color w:val="auto"/>
          <w:sz w:val="24"/>
          <w:szCs w:val="24"/>
        </w:rPr>
      </w:pPr>
    </w:p>
    <w:p w:rsidR="00AC3E80" w:rsidRPr="0092083C" w:rsidRDefault="00AC3E80" w:rsidP="00AC3E80">
      <w:pPr>
        <w:pStyle w:val="1"/>
        <w:spacing w:before="0" w:after="120" w:line="240" w:lineRule="auto"/>
        <w:rPr>
          <w:sz w:val="24"/>
          <w:szCs w:val="24"/>
        </w:rPr>
      </w:pPr>
      <w:r w:rsidRPr="0092083C">
        <w:rPr>
          <w:sz w:val="24"/>
          <w:szCs w:val="24"/>
        </w:rPr>
        <w:t>Перечень и порядок оформления документов для открытия и обслуживания счета депо физического лица – нерезидента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Паспорт</w:t>
      </w:r>
      <w:r w:rsidRPr="0092083C">
        <w:rPr>
          <w:sz w:val="24"/>
          <w:szCs w:val="24"/>
        </w:rPr>
        <w:t xml:space="preserve"> или иной действительный документ, признаваемый в Российской Федерации в качестве документа, удостоверяющего личность; миграционную карту; документ, подтверждающий право на пребывание (проживание) в Российской Федерации. 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Заявление на депозитарное обслуживание (СС-12)</w:t>
      </w:r>
      <w:r w:rsidRPr="0092083C">
        <w:rPr>
          <w:sz w:val="24"/>
          <w:szCs w:val="24"/>
        </w:rPr>
        <w:t xml:space="preserve"> в двух экземплярах, оформленное в соответствии с </w:t>
      </w:r>
      <w:r w:rsidRPr="0092083C">
        <w:rPr>
          <w:i/>
          <w:iCs/>
          <w:sz w:val="24"/>
          <w:szCs w:val="24"/>
        </w:rPr>
        <w:t xml:space="preserve">Условиями </w:t>
      </w:r>
      <w:r w:rsidRPr="0092083C">
        <w:rPr>
          <w:sz w:val="24"/>
          <w:szCs w:val="24"/>
        </w:rPr>
        <w:t>(если не было предоставлено ранее).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Поручение на открытие счета депо</w:t>
      </w:r>
      <w:r w:rsidRPr="0092083C">
        <w:rPr>
          <w:sz w:val="24"/>
          <w:szCs w:val="24"/>
        </w:rPr>
        <w:t xml:space="preserve">, оформленное в соответствии с </w:t>
      </w:r>
      <w:r w:rsidRPr="0092083C">
        <w:rPr>
          <w:i/>
          <w:iCs/>
          <w:sz w:val="24"/>
          <w:szCs w:val="24"/>
        </w:rPr>
        <w:t>Условиями</w:t>
      </w:r>
      <w:r w:rsidRPr="0092083C">
        <w:rPr>
          <w:sz w:val="24"/>
          <w:szCs w:val="24"/>
        </w:rPr>
        <w:t>.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>Анкета физического лица</w:t>
      </w:r>
      <w:r w:rsidRPr="0092083C">
        <w:rPr>
          <w:sz w:val="24"/>
          <w:szCs w:val="24"/>
        </w:rPr>
        <w:t xml:space="preserve">, оформленная в соответствии с </w:t>
      </w:r>
      <w:r w:rsidRPr="0092083C">
        <w:rPr>
          <w:i/>
          <w:iCs/>
          <w:sz w:val="24"/>
          <w:szCs w:val="24"/>
        </w:rPr>
        <w:t xml:space="preserve">Условиями </w:t>
      </w:r>
      <w:r w:rsidRPr="0092083C">
        <w:rPr>
          <w:sz w:val="24"/>
          <w:szCs w:val="24"/>
        </w:rPr>
        <w:t>и</w:t>
      </w:r>
      <w:r w:rsidRPr="0092083C">
        <w:rPr>
          <w:b/>
          <w:iCs/>
          <w:sz w:val="24"/>
          <w:szCs w:val="24"/>
        </w:rPr>
        <w:t xml:space="preserve"> Приложение 1 к Анкете</w:t>
      </w:r>
      <w:r w:rsidRPr="0092083C">
        <w:rPr>
          <w:i/>
          <w:iCs/>
          <w:sz w:val="24"/>
          <w:szCs w:val="24"/>
        </w:rPr>
        <w:t xml:space="preserve"> </w:t>
      </w:r>
      <w:r w:rsidRPr="0092083C">
        <w:rPr>
          <w:iCs/>
          <w:sz w:val="24"/>
          <w:szCs w:val="24"/>
        </w:rPr>
        <w:t>(«</w:t>
      </w:r>
      <w:r w:rsidRPr="0092083C">
        <w:rPr>
          <w:b/>
          <w:iCs/>
          <w:sz w:val="24"/>
          <w:szCs w:val="24"/>
        </w:rPr>
        <w:t>Анкета физического лица (дополнительные сведения)</w:t>
      </w:r>
      <w:r w:rsidRPr="0092083C">
        <w:rPr>
          <w:iCs/>
          <w:sz w:val="24"/>
          <w:szCs w:val="24"/>
        </w:rPr>
        <w:t xml:space="preserve">») по </w:t>
      </w:r>
      <w:r w:rsidRPr="0092083C">
        <w:rPr>
          <w:sz w:val="24"/>
          <w:szCs w:val="24"/>
        </w:rPr>
        <w:t>форме</w:t>
      </w:r>
      <w:r w:rsidRPr="0092083C">
        <w:rPr>
          <w:iCs/>
          <w:sz w:val="24"/>
          <w:szCs w:val="24"/>
        </w:rPr>
        <w:t>, установленной Банком и опубликованной на официальном Интернет-сайте Банка</w:t>
      </w:r>
      <w:r w:rsidRPr="0092083C">
        <w:rPr>
          <w:sz w:val="24"/>
          <w:szCs w:val="24"/>
        </w:rPr>
        <w:t>.</w:t>
      </w:r>
    </w:p>
    <w:p w:rsidR="00AC3E80" w:rsidRPr="0092083C" w:rsidRDefault="00AC3E80" w:rsidP="00AC3E80">
      <w:pPr>
        <w:pStyle w:val="22"/>
        <w:spacing w:before="0" w:after="60"/>
        <w:ind w:left="357" w:firstLine="0"/>
      </w:pPr>
      <w:r w:rsidRPr="0092083C">
        <w:rPr>
          <w:b/>
          <w:bCs/>
        </w:rPr>
        <w:t>Индивидуальный предприниматель</w:t>
      </w:r>
      <w:r w:rsidRPr="0092083C">
        <w:t>, дополнительно предоставляет следующие документы (</w:t>
      </w:r>
      <w:r w:rsidRPr="0092083C">
        <w:rPr>
          <w:bCs/>
        </w:rPr>
        <w:t>копии, заверенные в установленном порядке):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bCs/>
          <w:sz w:val="24"/>
          <w:szCs w:val="24"/>
        </w:rPr>
      </w:pPr>
      <w:r w:rsidRPr="0092083C">
        <w:rPr>
          <w:b/>
          <w:bCs/>
          <w:sz w:val="24"/>
          <w:szCs w:val="24"/>
        </w:rPr>
        <w:t>Документ, подтверждающий государственную регистрацию</w:t>
      </w:r>
      <w:r w:rsidRPr="0092083C">
        <w:rPr>
          <w:bCs/>
          <w:sz w:val="24"/>
          <w:szCs w:val="24"/>
        </w:rPr>
        <w:t xml:space="preserve">. 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bCs/>
          <w:sz w:val="24"/>
          <w:szCs w:val="24"/>
        </w:rPr>
      </w:pPr>
      <w:r w:rsidRPr="0092083C">
        <w:rPr>
          <w:b/>
          <w:bCs/>
          <w:sz w:val="24"/>
          <w:szCs w:val="24"/>
        </w:rPr>
        <w:t>Копия документа, подтверждающего регистрацию в налоговом органе</w:t>
      </w:r>
      <w:r w:rsidRPr="0092083C">
        <w:rPr>
          <w:bCs/>
          <w:sz w:val="24"/>
          <w:szCs w:val="24"/>
        </w:rPr>
        <w:t xml:space="preserve">. </w:t>
      </w:r>
    </w:p>
    <w:p w:rsidR="00AC3E80" w:rsidRPr="0092083C" w:rsidRDefault="00AC3E80" w:rsidP="00AC3E80">
      <w:pPr>
        <w:numPr>
          <w:ilvl w:val="0"/>
          <w:numId w:val="27"/>
        </w:numPr>
        <w:autoSpaceDE/>
        <w:autoSpaceDN/>
        <w:spacing w:after="60"/>
        <w:jc w:val="both"/>
        <w:rPr>
          <w:sz w:val="24"/>
          <w:szCs w:val="24"/>
        </w:rPr>
      </w:pPr>
      <w:r w:rsidRPr="0092083C">
        <w:rPr>
          <w:bCs/>
          <w:sz w:val="24"/>
          <w:szCs w:val="24"/>
        </w:rPr>
        <w:t>Документы</w:t>
      </w:r>
      <w:r w:rsidRPr="0092083C">
        <w:rPr>
          <w:sz w:val="24"/>
          <w:szCs w:val="24"/>
        </w:rPr>
        <w:t>, необходимые для проведения Банком идентификации Депонента, его выгодоприобретателей в соответствии с законодательством Российской Федерации в области противодействия и легализации доходов, полученных преступным путем, и финансирования терроризма, а также в соответствии с внутренними документами/политикой, утвержденными в Банке:</w:t>
      </w:r>
    </w:p>
    <w:p w:rsidR="00AC3E80" w:rsidRPr="0092083C" w:rsidRDefault="00AC3E80" w:rsidP="00AC3E80">
      <w:pPr>
        <w:numPr>
          <w:ilvl w:val="0"/>
          <w:numId w:val="17"/>
        </w:numPr>
        <w:autoSpaceDE/>
        <w:autoSpaceDN/>
        <w:spacing w:after="60"/>
        <w:contextualSpacing/>
        <w:jc w:val="both"/>
        <w:rPr>
          <w:sz w:val="24"/>
          <w:szCs w:val="24"/>
        </w:rPr>
      </w:pPr>
      <w:r w:rsidRPr="0092083C">
        <w:rPr>
          <w:b/>
          <w:sz w:val="24"/>
          <w:szCs w:val="24"/>
        </w:rPr>
        <w:t>Информационные сведения Клиента</w:t>
      </w:r>
      <w:r w:rsidRPr="0092083C">
        <w:rPr>
          <w:sz w:val="24"/>
          <w:szCs w:val="24"/>
        </w:rPr>
        <w:t xml:space="preserve"> по форме, установленной Банком и опубликованной на официальном Интернет-сайте Банка;</w:t>
      </w:r>
    </w:p>
    <w:p w:rsidR="00AC3E80" w:rsidRPr="0092083C" w:rsidRDefault="00AC3E80" w:rsidP="00AC3E80">
      <w:pPr>
        <w:numPr>
          <w:ilvl w:val="0"/>
          <w:numId w:val="17"/>
        </w:numPr>
        <w:autoSpaceDE/>
        <w:autoSpaceDN/>
        <w:spacing w:after="60"/>
        <w:contextualSpacing/>
        <w:jc w:val="both"/>
        <w:rPr>
          <w:bCs/>
          <w:sz w:val="24"/>
          <w:szCs w:val="24"/>
        </w:rPr>
      </w:pPr>
      <w:r w:rsidRPr="0092083C">
        <w:rPr>
          <w:sz w:val="24"/>
          <w:szCs w:val="24"/>
        </w:rPr>
        <w:t>заверенные индивидуальным предпринимателем документы/копии документов,  подтверждающие сведения, указанные в Информационных сведениях Клиента</w:t>
      </w:r>
      <w:r w:rsidRPr="0092083C">
        <w:rPr>
          <w:bCs/>
          <w:sz w:val="24"/>
          <w:szCs w:val="24"/>
        </w:rPr>
        <w:t>.</w:t>
      </w:r>
    </w:p>
    <w:p w:rsidR="00AC3E80" w:rsidRPr="0092083C" w:rsidRDefault="00AC3E80" w:rsidP="00AC3E80">
      <w:pPr>
        <w:spacing w:after="60"/>
        <w:jc w:val="center"/>
        <w:rPr>
          <w:b/>
          <w:bCs/>
          <w:sz w:val="24"/>
          <w:szCs w:val="24"/>
        </w:rPr>
      </w:pPr>
      <w:r w:rsidRPr="0092083C">
        <w:rPr>
          <w:b/>
          <w:sz w:val="24"/>
          <w:szCs w:val="24"/>
        </w:rPr>
        <w:t>Порядок оформления документов</w:t>
      </w:r>
    </w:p>
    <w:p w:rsidR="00AC3E80" w:rsidRPr="0092083C" w:rsidRDefault="00AC3E80" w:rsidP="00AC3E80">
      <w:pPr>
        <w:adjustRightInd w:val="0"/>
        <w:spacing w:after="60"/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Для открытия счета депо в </w:t>
      </w:r>
      <w:r w:rsidRPr="0092083C">
        <w:rPr>
          <w:i/>
          <w:sz w:val="24"/>
          <w:szCs w:val="24"/>
        </w:rPr>
        <w:t>Депозитарий (Банк)</w:t>
      </w:r>
      <w:r w:rsidRPr="0092083C">
        <w:rPr>
          <w:sz w:val="24"/>
          <w:szCs w:val="24"/>
        </w:rPr>
        <w:t xml:space="preserve"> физическое лицо предъявляет паспорт (или документ, его заменяющий), а также оригиналы или нотариально удостоверенные копии документов, указанных в </w:t>
      </w:r>
      <w:r w:rsidRPr="0092083C">
        <w:rPr>
          <w:b/>
          <w:i/>
          <w:sz w:val="24"/>
          <w:szCs w:val="24"/>
        </w:rPr>
        <w:t>пунктах 5 и 6</w:t>
      </w:r>
      <w:r w:rsidRPr="0092083C">
        <w:rPr>
          <w:sz w:val="24"/>
          <w:szCs w:val="24"/>
        </w:rPr>
        <w:t>. Должностное лицо Банка (Депозитария) или иное уполномоченное Банком лицо, являющееся работником Банка, вправе заверить копии вышеуказанных документов, предоставленных Клиентом для открытия счета депо.</w:t>
      </w:r>
    </w:p>
    <w:p w:rsidR="00AC3E80" w:rsidRPr="0092083C" w:rsidRDefault="00AC3E80" w:rsidP="00AC3E80">
      <w:pPr>
        <w:pStyle w:val="24"/>
        <w:ind w:firstLine="567"/>
        <w:jc w:val="both"/>
        <w:rPr>
          <w:sz w:val="24"/>
          <w:szCs w:val="24"/>
        </w:rPr>
      </w:pPr>
      <w:r w:rsidRPr="0092083C">
        <w:rPr>
          <w:sz w:val="24"/>
          <w:szCs w:val="24"/>
        </w:rPr>
        <w:t>В случае необходимости Депозитарий имеет право запросить копию паспорта (или документа, его заменяющего)  с надлежащим образом заверенным переводом на русский язык. Верность перевода должна быть засвидетельствована либо должностным лицом консульского учреждения Российской Федерации, либо нотариусом.</w:t>
      </w:r>
    </w:p>
    <w:p w:rsidR="00AC3E80" w:rsidRPr="0092083C" w:rsidRDefault="00AC3E80" w:rsidP="00AC3E80">
      <w:pPr>
        <w:adjustRightInd w:val="0"/>
        <w:spacing w:after="120"/>
        <w:ind w:firstLine="567"/>
        <w:jc w:val="both"/>
        <w:rPr>
          <w:bCs/>
          <w:iCs/>
          <w:sz w:val="24"/>
          <w:szCs w:val="24"/>
        </w:rPr>
      </w:pPr>
      <w:r w:rsidRPr="0092083C">
        <w:rPr>
          <w:i/>
          <w:iCs/>
          <w:sz w:val="24"/>
          <w:szCs w:val="24"/>
        </w:rPr>
        <w:t>Если Депоненту открыт счет депо</w:t>
      </w:r>
      <w:r w:rsidRPr="0092083C">
        <w:rPr>
          <w:b/>
          <w:bCs/>
          <w:i/>
          <w:iCs/>
          <w:sz w:val="24"/>
          <w:szCs w:val="24"/>
        </w:rPr>
        <w:t xml:space="preserve"> в данном Месте обслуживания, то для открытия нового счета депо Депонент оформляет только Поручение на открытие счета депо ОС-10. </w:t>
      </w:r>
      <w:r w:rsidRPr="0092083C">
        <w:rPr>
          <w:bCs/>
          <w:iCs/>
          <w:sz w:val="24"/>
          <w:szCs w:val="24"/>
        </w:rPr>
        <w:t xml:space="preserve">Повторное предоставление документов, указанных в </w:t>
      </w:r>
      <w:r w:rsidRPr="0092083C">
        <w:rPr>
          <w:b/>
          <w:bCs/>
          <w:i/>
          <w:iCs/>
          <w:sz w:val="24"/>
          <w:szCs w:val="24"/>
        </w:rPr>
        <w:t>пунктах 5-7</w:t>
      </w:r>
      <w:r w:rsidRPr="0092083C">
        <w:rPr>
          <w:bCs/>
          <w:iCs/>
          <w:sz w:val="24"/>
          <w:szCs w:val="24"/>
        </w:rPr>
        <w:t>, не требуется.</w:t>
      </w:r>
    </w:p>
    <w:p w:rsidR="00AC3E80" w:rsidRPr="0092083C" w:rsidRDefault="00AC3E80" w:rsidP="00AC3E80">
      <w:pPr>
        <w:spacing w:after="60"/>
        <w:ind w:firstLine="567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 xml:space="preserve">В случае если клиентом уже были переданы в Банк для открытия и обслуживания других счетов </w:t>
      </w:r>
      <w:r w:rsidRPr="0092083C">
        <w:rPr>
          <w:bCs/>
          <w:sz w:val="24"/>
          <w:szCs w:val="24"/>
        </w:rPr>
        <w:t>документы</w:t>
      </w:r>
      <w:r w:rsidRPr="0092083C">
        <w:rPr>
          <w:b/>
          <w:bCs/>
          <w:sz w:val="24"/>
          <w:szCs w:val="24"/>
        </w:rPr>
        <w:t>,</w:t>
      </w:r>
      <w:r w:rsidRPr="0092083C">
        <w:rPr>
          <w:sz w:val="24"/>
          <w:szCs w:val="24"/>
        </w:rPr>
        <w:t xml:space="preserve"> указанные в </w:t>
      </w:r>
      <w:r w:rsidRPr="0092083C">
        <w:rPr>
          <w:b/>
          <w:bCs/>
          <w:i/>
          <w:iCs/>
          <w:sz w:val="24"/>
          <w:szCs w:val="24"/>
        </w:rPr>
        <w:t xml:space="preserve">пунктах 5 и 6, </w:t>
      </w:r>
      <w:r w:rsidRPr="0092083C">
        <w:rPr>
          <w:bCs/>
          <w:iCs/>
          <w:sz w:val="24"/>
          <w:szCs w:val="24"/>
        </w:rPr>
        <w:t xml:space="preserve">а также сведения и </w:t>
      </w:r>
      <w:r w:rsidRPr="0092083C">
        <w:rPr>
          <w:bCs/>
          <w:iCs/>
          <w:sz w:val="24"/>
          <w:szCs w:val="24"/>
        </w:rPr>
        <w:lastRenderedPageBreak/>
        <w:t>документы, указанные в</w:t>
      </w:r>
      <w:r w:rsidRPr="0092083C">
        <w:rPr>
          <w:b/>
          <w:bCs/>
          <w:i/>
          <w:iCs/>
          <w:sz w:val="24"/>
          <w:szCs w:val="24"/>
        </w:rPr>
        <w:t xml:space="preserve"> пункте 7</w:t>
      </w:r>
      <w:r w:rsidRPr="0092083C">
        <w:rPr>
          <w:rStyle w:val="af6"/>
          <w:b/>
          <w:bCs/>
          <w:i/>
          <w:iCs/>
          <w:sz w:val="24"/>
          <w:szCs w:val="24"/>
        </w:rPr>
        <w:footnoteReference w:customMarkFollows="1" w:id="2"/>
        <w:t>*</w:t>
      </w:r>
      <w:r w:rsidRPr="0092083C">
        <w:rPr>
          <w:b/>
          <w:bCs/>
          <w:i/>
          <w:iCs/>
          <w:sz w:val="24"/>
          <w:szCs w:val="24"/>
        </w:rPr>
        <w:t xml:space="preserve">, </w:t>
      </w:r>
      <w:r w:rsidRPr="0092083C">
        <w:rPr>
          <w:bCs/>
          <w:iCs/>
          <w:sz w:val="24"/>
          <w:szCs w:val="24"/>
        </w:rPr>
        <w:t xml:space="preserve">он может воспользоваться этими документами для открытия Счета депо, </w:t>
      </w:r>
      <w:r w:rsidRPr="0092083C">
        <w:rPr>
          <w:sz w:val="24"/>
          <w:szCs w:val="24"/>
        </w:rPr>
        <w:t xml:space="preserve">представив в Депозитарий (по Месту обслуживания) </w:t>
      </w:r>
      <w:r w:rsidRPr="0092083C">
        <w:rPr>
          <w:b/>
          <w:bCs/>
          <w:sz w:val="24"/>
          <w:szCs w:val="24"/>
        </w:rPr>
        <w:t xml:space="preserve">Заявление на прием комплекта документов. </w:t>
      </w:r>
      <w:r w:rsidRPr="0092083C">
        <w:rPr>
          <w:bCs/>
          <w:sz w:val="24"/>
          <w:szCs w:val="24"/>
        </w:rPr>
        <w:t>П</w:t>
      </w:r>
      <w:r w:rsidRPr="0092083C">
        <w:rPr>
          <w:sz w:val="24"/>
          <w:szCs w:val="24"/>
        </w:rPr>
        <w:t>овторное предоставление вышеуказанных документов не требуется. Данный порядок действует и в случае изменения анкетных данных по открытым счетам депо.</w:t>
      </w:r>
    </w:p>
    <w:p w:rsidR="00AC3E80" w:rsidRPr="0092083C" w:rsidRDefault="00AC3E80" w:rsidP="00AC3E80">
      <w:pPr>
        <w:spacing w:after="60"/>
        <w:ind w:firstLine="426"/>
        <w:jc w:val="both"/>
        <w:rPr>
          <w:sz w:val="24"/>
          <w:szCs w:val="24"/>
        </w:rPr>
      </w:pPr>
      <w:r w:rsidRPr="0092083C">
        <w:rPr>
          <w:b/>
          <w:bCs/>
          <w:sz w:val="24"/>
          <w:szCs w:val="24"/>
        </w:rPr>
        <w:t xml:space="preserve">Бланки документов Депозитария </w:t>
      </w:r>
      <w:r w:rsidRPr="0092083C">
        <w:rPr>
          <w:sz w:val="24"/>
          <w:szCs w:val="24"/>
        </w:rPr>
        <w:t>могут быть получены клиентом на официальном Интернет-сайте Банка или у работников Банка по Месту обслуживания.</w:t>
      </w:r>
    </w:p>
    <w:p w:rsidR="00AC3E80" w:rsidRPr="0092083C" w:rsidRDefault="00AC3E80" w:rsidP="00AC3E80">
      <w:pPr>
        <w:pStyle w:val="24"/>
        <w:numPr>
          <w:ilvl w:val="12"/>
          <w:numId w:val="0"/>
        </w:numPr>
        <w:spacing w:after="60"/>
        <w:contextualSpacing/>
        <w:jc w:val="both"/>
        <w:rPr>
          <w:i/>
          <w:iCs/>
          <w:sz w:val="24"/>
          <w:szCs w:val="24"/>
        </w:rPr>
      </w:pPr>
      <w:r w:rsidRPr="0092083C">
        <w:rPr>
          <w:b w:val="0"/>
          <w:i/>
          <w:iCs/>
          <w:sz w:val="24"/>
          <w:szCs w:val="24"/>
        </w:rPr>
        <w:t xml:space="preserve">Бланки документов Депозитария могут быть заполнены работником Банка по Месту обслуживания </w:t>
      </w:r>
      <w:r w:rsidRPr="0092083C">
        <w:rPr>
          <w:i/>
          <w:iCs/>
          <w:sz w:val="24"/>
          <w:szCs w:val="24"/>
        </w:rPr>
        <w:t>и предоставлены для проверки и подписи клиенту - для этого кроме предоставления паспорта (иного действительного документа, признаваемого в Российской Федерации в качестве документа, удостоверяющего личность) клиенту необходимо сообщить работнику Банка по Месту обслуживания</w:t>
      </w:r>
      <w:r w:rsidRPr="0092083C">
        <w:rPr>
          <w:b w:val="0"/>
          <w:bCs w:val="0"/>
          <w:i/>
          <w:iCs/>
          <w:sz w:val="24"/>
          <w:szCs w:val="24"/>
        </w:rPr>
        <w:t>: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60"/>
        <w:ind w:left="1071" w:hanging="357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реквизиты счета (счетов) для перечисления доходов по ценным бумагам;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почтовый адрес;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способы взаимодействия с Депозитарием; </w:t>
      </w:r>
    </w:p>
    <w:p w:rsidR="00AC3E80" w:rsidRPr="0092083C" w:rsidRDefault="00AC3E80" w:rsidP="00AC3E80">
      <w:pPr>
        <w:numPr>
          <w:ilvl w:val="0"/>
          <w:numId w:val="3"/>
        </w:numPr>
        <w:tabs>
          <w:tab w:val="num" w:pos="1134"/>
        </w:tabs>
        <w:autoSpaceDE/>
        <w:autoSpaceDN/>
        <w:spacing w:after="120"/>
        <w:ind w:left="1071" w:hanging="357"/>
        <w:contextualSpacing/>
        <w:jc w:val="both"/>
        <w:rPr>
          <w:sz w:val="24"/>
          <w:szCs w:val="24"/>
        </w:rPr>
      </w:pPr>
      <w:r w:rsidRPr="0092083C">
        <w:rPr>
          <w:sz w:val="24"/>
          <w:szCs w:val="24"/>
        </w:rPr>
        <w:t xml:space="preserve">ИНН (при наличии).   </w:t>
      </w:r>
    </w:p>
    <w:p w:rsidR="00AC3E80" w:rsidRPr="0092083C" w:rsidRDefault="00AC3E80" w:rsidP="00AC3E80">
      <w:pPr>
        <w:spacing w:after="120"/>
        <w:ind w:firstLine="709"/>
        <w:contextualSpacing/>
        <w:jc w:val="both"/>
        <w:rPr>
          <w:sz w:val="24"/>
          <w:szCs w:val="24"/>
        </w:rPr>
      </w:pPr>
    </w:p>
    <w:p w:rsidR="00AC3E80" w:rsidRPr="00EC0C99" w:rsidRDefault="00AC3E80" w:rsidP="00EC0C99">
      <w:pPr>
        <w:pStyle w:val="31"/>
        <w:ind w:left="0"/>
        <w:rPr>
          <w:sz w:val="24"/>
          <w:szCs w:val="24"/>
          <w:lang w:val="en-US"/>
        </w:rPr>
      </w:pPr>
    </w:p>
    <w:sectPr w:rsidR="00AC3E80" w:rsidRPr="00EC0C99" w:rsidSect="00371F6E">
      <w:footerReference w:type="default" r:id="rId8"/>
      <w:footnotePr>
        <w:numFmt w:val="chicago"/>
      </w:footnotePr>
      <w:pgSz w:w="11906" w:h="16838"/>
      <w:pgMar w:top="993" w:right="127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46" w:rsidRDefault="00406D46">
      <w:r>
        <w:separator/>
      </w:r>
    </w:p>
  </w:endnote>
  <w:endnote w:type="continuationSeparator" w:id="0">
    <w:p w:rsidR="00406D46" w:rsidRDefault="004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A4" w:rsidRDefault="00456AA4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7397">
      <w:rPr>
        <w:rStyle w:val="a8"/>
        <w:noProof/>
      </w:rPr>
      <w:t>2</w:t>
    </w:r>
    <w:r>
      <w:rPr>
        <w:rStyle w:val="a8"/>
      </w:rPr>
      <w:fldChar w:fldCharType="end"/>
    </w:r>
  </w:p>
  <w:p w:rsidR="00456AA4" w:rsidRDefault="00456A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46" w:rsidRDefault="00406D46">
      <w:r>
        <w:separator/>
      </w:r>
    </w:p>
  </w:footnote>
  <w:footnote w:type="continuationSeparator" w:id="0">
    <w:p w:rsidR="00406D46" w:rsidRDefault="00406D46">
      <w:r>
        <w:continuationSeparator/>
      </w:r>
    </w:p>
  </w:footnote>
  <w:footnote w:id="1">
    <w:p w:rsidR="00456AA4" w:rsidRDefault="00456AA4" w:rsidP="00AC3E80">
      <w:pPr>
        <w:pStyle w:val="af4"/>
        <w:jc w:val="both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указанные в п. 7, только если они были </w:t>
      </w:r>
      <w:r w:rsidRPr="00387AFF">
        <w:rPr>
          <w:rFonts w:ascii="Times New Roman" w:hAnsi="Times New Roman"/>
          <w:sz w:val="18"/>
          <w:szCs w:val="18"/>
        </w:rPr>
        <w:t xml:space="preserve">переданы в Банк в течение последних трех месяцев, являются актуальными и соответствуют требованиям законодательства РФ  на момент обращения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</w:t>
      </w:r>
      <w:r>
        <w:rPr>
          <w:rFonts w:ascii="Times New Roman" w:hAnsi="Times New Roman"/>
          <w:sz w:val="18"/>
          <w:szCs w:val="18"/>
        </w:rPr>
        <w:t xml:space="preserve"> Депозитарий письмо-подтверждение, что ранее переданные сведения и документы являются актуальными.</w:t>
      </w:r>
      <w:r>
        <w:t xml:space="preserve"> </w:t>
      </w:r>
    </w:p>
  </w:footnote>
  <w:footnote w:id="2">
    <w:p w:rsidR="00456AA4" w:rsidRDefault="00456AA4" w:rsidP="00AC3E80">
      <w:pPr>
        <w:pStyle w:val="af4"/>
        <w:jc w:val="both"/>
        <w:rPr>
          <w:rFonts w:ascii="Times New Roman" w:hAnsi="Times New Roman"/>
        </w:rPr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Клиент вправе не предоставлять повторно в Депозитарий сведения и документы, </w:t>
      </w:r>
      <w:r w:rsidRPr="00387AFF">
        <w:rPr>
          <w:rFonts w:ascii="Times New Roman" w:hAnsi="Times New Roman"/>
          <w:sz w:val="18"/>
          <w:szCs w:val="18"/>
        </w:rPr>
        <w:t xml:space="preserve">указанные в пункте 7, только если они были переданы в Банк в течение последних трех месяцев, являются актуальными и соответствуют требованиям законодательства РФ  на момент обращения в Депозитарий. В этом случае клиент дополнительно с </w:t>
      </w:r>
      <w:r w:rsidRPr="00387AFF">
        <w:rPr>
          <w:rFonts w:ascii="Times New Roman" w:hAnsi="Times New Roman"/>
          <w:b/>
          <w:sz w:val="18"/>
          <w:szCs w:val="18"/>
        </w:rPr>
        <w:t>Заявлением на прием комплекта документов</w:t>
      </w:r>
      <w:r w:rsidRPr="00387AFF">
        <w:rPr>
          <w:rFonts w:ascii="Times New Roman" w:hAnsi="Times New Roman"/>
          <w:sz w:val="18"/>
          <w:szCs w:val="18"/>
        </w:rPr>
        <w:t xml:space="preserve"> передает в Депозитарий письмо-подтверждение, что ранее переданные сведения и документы являются актуальными.</w:t>
      </w: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9C6"/>
    <w:multiLevelType w:val="hybridMultilevel"/>
    <w:tmpl w:val="DB6E9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54C63"/>
    <w:multiLevelType w:val="hybridMultilevel"/>
    <w:tmpl w:val="809A26C8"/>
    <w:lvl w:ilvl="0" w:tplc="48D20322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2F0556"/>
    <w:multiLevelType w:val="multilevel"/>
    <w:tmpl w:val="D8A02E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5F3505"/>
    <w:multiLevelType w:val="hybridMultilevel"/>
    <w:tmpl w:val="C4381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2B31"/>
    <w:multiLevelType w:val="hybridMultilevel"/>
    <w:tmpl w:val="59EACF3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17304D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60733F"/>
    <w:multiLevelType w:val="hybridMultilevel"/>
    <w:tmpl w:val="CA48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40DD5"/>
    <w:multiLevelType w:val="hybridMultilevel"/>
    <w:tmpl w:val="13448F92"/>
    <w:lvl w:ilvl="0" w:tplc="872C12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C34089"/>
    <w:multiLevelType w:val="hybridMultilevel"/>
    <w:tmpl w:val="F7FE7774"/>
    <w:lvl w:ilvl="0" w:tplc="48D20322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A580ECC"/>
    <w:multiLevelType w:val="multilevel"/>
    <w:tmpl w:val="B84A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AC390C"/>
    <w:multiLevelType w:val="hybridMultilevel"/>
    <w:tmpl w:val="99B8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97689"/>
    <w:multiLevelType w:val="hybridMultilevel"/>
    <w:tmpl w:val="C002A73E"/>
    <w:lvl w:ilvl="0" w:tplc="D67AA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10 Win95BT" w:hAnsi="Courier10 Win95BT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10 Win95BT" w:hAnsi="Courier10 Win95BT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D4852"/>
    <w:multiLevelType w:val="hybridMultilevel"/>
    <w:tmpl w:val="4B3465A4"/>
    <w:lvl w:ilvl="0" w:tplc="134470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FA274F"/>
    <w:multiLevelType w:val="hybridMultilevel"/>
    <w:tmpl w:val="59EACF3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52677CDA"/>
    <w:multiLevelType w:val="hybridMultilevel"/>
    <w:tmpl w:val="3536AD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650C63"/>
    <w:multiLevelType w:val="hybridMultilevel"/>
    <w:tmpl w:val="C6DED976"/>
    <w:lvl w:ilvl="0" w:tplc="A8A0B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3E46E67"/>
    <w:multiLevelType w:val="hybridMultilevel"/>
    <w:tmpl w:val="47D08AA0"/>
    <w:lvl w:ilvl="0" w:tplc="F7D42E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E13A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71E35F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7B8F7FC4"/>
    <w:multiLevelType w:val="hybridMultilevel"/>
    <w:tmpl w:val="E14A5472"/>
    <w:lvl w:ilvl="0" w:tplc="FF262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890D68"/>
    <w:multiLevelType w:val="hybridMultilevel"/>
    <w:tmpl w:val="1ABACE9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7"/>
  </w:num>
  <w:num w:numId="17">
    <w:abstractNumId w:val="0"/>
  </w:num>
  <w:num w:numId="18">
    <w:abstractNumId w:val="10"/>
  </w:num>
  <w:num w:numId="19">
    <w:abstractNumId w:val="13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8C"/>
    <w:rsid w:val="0002029D"/>
    <w:rsid w:val="00073C7A"/>
    <w:rsid w:val="00077599"/>
    <w:rsid w:val="00083805"/>
    <w:rsid w:val="00086DB9"/>
    <w:rsid w:val="000B0F2D"/>
    <w:rsid w:val="000D770B"/>
    <w:rsid w:val="000F0934"/>
    <w:rsid w:val="000F19D9"/>
    <w:rsid w:val="000F280C"/>
    <w:rsid w:val="00117EF5"/>
    <w:rsid w:val="0013546B"/>
    <w:rsid w:val="00137DD8"/>
    <w:rsid w:val="001423A3"/>
    <w:rsid w:val="00145CCF"/>
    <w:rsid w:val="001744C7"/>
    <w:rsid w:val="00193504"/>
    <w:rsid w:val="001967BD"/>
    <w:rsid w:val="001B78FE"/>
    <w:rsid w:val="001C679E"/>
    <w:rsid w:val="001E08F7"/>
    <w:rsid w:val="001E14BC"/>
    <w:rsid w:val="001F532A"/>
    <w:rsid w:val="002306BD"/>
    <w:rsid w:val="00232496"/>
    <w:rsid w:val="00237625"/>
    <w:rsid w:val="002471CF"/>
    <w:rsid w:val="00266CDE"/>
    <w:rsid w:val="00276402"/>
    <w:rsid w:val="00276A62"/>
    <w:rsid w:val="002A4860"/>
    <w:rsid w:val="002A5953"/>
    <w:rsid w:val="002B15CE"/>
    <w:rsid w:val="002C3844"/>
    <w:rsid w:val="002C6650"/>
    <w:rsid w:val="002E77AE"/>
    <w:rsid w:val="00317449"/>
    <w:rsid w:val="00334321"/>
    <w:rsid w:val="003407A9"/>
    <w:rsid w:val="0035559B"/>
    <w:rsid w:val="003632B3"/>
    <w:rsid w:val="00371F6E"/>
    <w:rsid w:val="00385F07"/>
    <w:rsid w:val="00386D43"/>
    <w:rsid w:val="003942FA"/>
    <w:rsid w:val="003D7614"/>
    <w:rsid w:val="003E2D95"/>
    <w:rsid w:val="003F0B54"/>
    <w:rsid w:val="00406D46"/>
    <w:rsid w:val="00427523"/>
    <w:rsid w:val="004323B3"/>
    <w:rsid w:val="0043741B"/>
    <w:rsid w:val="00447F8A"/>
    <w:rsid w:val="004516A3"/>
    <w:rsid w:val="00456AA4"/>
    <w:rsid w:val="004654DB"/>
    <w:rsid w:val="00467968"/>
    <w:rsid w:val="00467A4C"/>
    <w:rsid w:val="00472CF5"/>
    <w:rsid w:val="00477901"/>
    <w:rsid w:val="004855F7"/>
    <w:rsid w:val="0049230D"/>
    <w:rsid w:val="004A22CD"/>
    <w:rsid w:val="004B0768"/>
    <w:rsid w:val="004C2BCA"/>
    <w:rsid w:val="004F7B14"/>
    <w:rsid w:val="00510904"/>
    <w:rsid w:val="00540098"/>
    <w:rsid w:val="00554CDF"/>
    <w:rsid w:val="00560851"/>
    <w:rsid w:val="0057085F"/>
    <w:rsid w:val="005919C7"/>
    <w:rsid w:val="00595BC9"/>
    <w:rsid w:val="005C039B"/>
    <w:rsid w:val="005D4E07"/>
    <w:rsid w:val="005E2E3B"/>
    <w:rsid w:val="005F0442"/>
    <w:rsid w:val="005F1777"/>
    <w:rsid w:val="005F769B"/>
    <w:rsid w:val="00625E3E"/>
    <w:rsid w:val="00632AC4"/>
    <w:rsid w:val="00646062"/>
    <w:rsid w:val="006506E2"/>
    <w:rsid w:val="006550BC"/>
    <w:rsid w:val="00666F06"/>
    <w:rsid w:val="0067086C"/>
    <w:rsid w:val="006747C8"/>
    <w:rsid w:val="006A3ECA"/>
    <w:rsid w:val="006A62B3"/>
    <w:rsid w:val="006B5E6C"/>
    <w:rsid w:val="006C0E17"/>
    <w:rsid w:val="006C38A0"/>
    <w:rsid w:val="006D19EA"/>
    <w:rsid w:val="007011C0"/>
    <w:rsid w:val="0070339F"/>
    <w:rsid w:val="00705F75"/>
    <w:rsid w:val="00757D70"/>
    <w:rsid w:val="007764C1"/>
    <w:rsid w:val="00784579"/>
    <w:rsid w:val="0079592A"/>
    <w:rsid w:val="007A141B"/>
    <w:rsid w:val="007A6A23"/>
    <w:rsid w:val="007B6C7F"/>
    <w:rsid w:val="007C1660"/>
    <w:rsid w:val="007E226D"/>
    <w:rsid w:val="007F1E4C"/>
    <w:rsid w:val="007F5BF2"/>
    <w:rsid w:val="00806A9F"/>
    <w:rsid w:val="008138FA"/>
    <w:rsid w:val="0081560A"/>
    <w:rsid w:val="00845263"/>
    <w:rsid w:val="00845B00"/>
    <w:rsid w:val="008469E4"/>
    <w:rsid w:val="008618A2"/>
    <w:rsid w:val="00896ED7"/>
    <w:rsid w:val="008A694D"/>
    <w:rsid w:val="008B19BD"/>
    <w:rsid w:val="008B708C"/>
    <w:rsid w:val="008B7397"/>
    <w:rsid w:val="008C12FA"/>
    <w:rsid w:val="008F28D4"/>
    <w:rsid w:val="008F5A7C"/>
    <w:rsid w:val="0090627D"/>
    <w:rsid w:val="0090773A"/>
    <w:rsid w:val="0092083C"/>
    <w:rsid w:val="00923AB6"/>
    <w:rsid w:val="00934710"/>
    <w:rsid w:val="0095399E"/>
    <w:rsid w:val="0096174A"/>
    <w:rsid w:val="009634AD"/>
    <w:rsid w:val="00991CAD"/>
    <w:rsid w:val="009955B7"/>
    <w:rsid w:val="009C332F"/>
    <w:rsid w:val="009C4493"/>
    <w:rsid w:val="009F17E1"/>
    <w:rsid w:val="009F4F3E"/>
    <w:rsid w:val="00A059C5"/>
    <w:rsid w:val="00A063C6"/>
    <w:rsid w:val="00A1344C"/>
    <w:rsid w:val="00A22651"/>
    <w:rsid w:val="00A22D5A"/>
    <w:rsid w:val="00A31F54"/>
    <w:rsid w:val="00A41BDA"/>
    <w:rsid w:val="00A50F9F"/>
    <w:rsid w:val="00A51ADD"/>
    <w:rsid w:val="00A53284"/>
    <w:rsid w:val="00A64FBD"/>
    <w:rsid w:val="00A77BF5"/>
    <w:rsid w:val="00A83C1A"/>
    <w:rsid w:val="00A84E36"/>
    <w:rsid w:val="00A859BA"/>
    <w:rsid w:val="00AA3837"/>
    <w:rsid w:val="00AB37D5"/>
    <w:rsid w:val="00AB48B0"/>
    <w:rsid w:val="00AC18CF"/>
    <w:rsid w:val="00AC3E80"/>
    <w:rsid w:val="00AD518C"/>
    <w:rsid w:val="00AE5D57"/>
    <w:rsid w:val="00AE634B"/>
    <w:rsid w:val="00AF57A6"/>
    <w:rsid w:val="00B17443"/>
    <w:rsid w:val="00B50B1B"/>
    <w:rsid w:val="00B5658A"/>
    <w:rsid w:val="00B57ECF"/>
    <w:rsid w:val="00B74AA4"/>
    <w:rsid w:val="00B84D7D"/>
    <w:rsid w:val="00B93DEB"/>
    <w:rsid w:val="00BD049E"/>
    <w:rsid w:val="00BF0A26"/>
    <w:rsid w:val="00C02A1C"/>
    <w:rsid w:val="00C07554"/>
    <w:rsid w:val="00C140DD"/>
    <w:rsid w:val="00C15050"/>
    <w:rsid w:val="00C15151"/>
    <w:rsid w:val="00C33ACD"/>
    <w:rsid w:val="00C347EB"/>
    <w:rsid w:val="00C37413"/>
    <w:rsid w:val="00C376BE"/>
    <w:rsid w:val="00C63EDF"/>
    <w:rsid w:val="00C70874"/>
    <w:rsid w:val="00C7734D"/>
    <w:rsid w:val="00C83DCA"/>
    <w:rsid w:val="00C86092"/>
    <w:rsid w:val="00CA6B8E"/>
    <w:rsid w:val="00CB4D51"/>
    <w:rsid w:val="00CC6B99"/>
    <w:rsid w:val="00CF57F9"/>
    <w:rsid w:val="00D22C0A"/>
    <w:rsid w:val="00D237B0"/>
    <w:rsid w:val="00D34C53"/>
    <w:rsid w:val="00D52625"/>
    <w:rsid w:val="00D6145E"/>
    <w:rsid w:val="00D964F9"/>
    <w:rsid w:val="00D97511"/>
    <w:rsid w:val="00DB3C68"/>
    <w:rsid w:val="00DC3A95"/>
    <w:rsid w:val="00DD543A"/>
    <w:rsid w:val="00DF4B1F"/>
    <w:rsid w:val="00DF5AD4"/>
    <w:rsid w:val="00E04058"/>
    <w:rsid w:val="00E2226E"/>
    <w:rsid w:val="00E31D79"/>
    <w:rsid w:val="00E36431"/>
    <w:rsid w:val="00E43CC5"/>
    <w:rsid w:val="00E748B4"/>
    <w:rsid w:val="00EA2AF4"/>
    <w:rsid w:val="00EA319F"/>
    <w:rsid w:val="00EC0C99"/>
    <w:rsid w:val="00ED06B1"/>
    <w:rsid w:val="00ED3781"/>
    <w:rsid w:val="00EE4161"/>
    <w:rsid w:val="00EF33AD"/>
    <w:rsid w:val="00EF60B7"/>
    <w:rsid w:val="00F03778"/>
    <w:rsid w:val="00F32E3A"/>
    <w:rsid w:val="00F40169"/>
    <w:rsid w:val="00F50A11"/>
    <w:rsid w:val="00F538FC"/>
    <w:rsid w:val="00F82C83"/>
    <w:rsid w:val="00FA3826"/>
    <w:rsid w:val="00FA7CBD"/>
    <w:rsid w:val="00FB0BB6"/>
    <w:rsid w:val="00FC6FCD"/>
    <w:rsid w:val="00FD276D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8FFAE1-514F-477F-B29D-0775236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num" w:pos="0"/>
      </w:tabs>
      <w:suppressAutoHyphens/>
      <w:jc w:val="center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12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after="120"/>
      <w:ind w:left="993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12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12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after="120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Balloon Text"/>
    <w:basedOn w:val="a"/>
    <w:link w:val="a4"/>
    <w:uiPriority w:val="99"/>
    <w:semiHidden/>
    <w:rsid w:val="00276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41">
    <w:name w:val="заголовок 4"/>
    <w:basedOn w:val="a"/>
    <w:next w:val="a"/>
    <w:uiPriority w:val="99"/>
    <w:pPr>
      <w:keepNext/>
      <w:spacing w:before="240" w:after="60"/>
      <w:ind w:firstLine="7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81">
    <w:name w:val="заголовок 8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pPr>
      <w:jc w:val="both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pPr>
      <w:tabs>
        <w:tab w:val="num" w:pos="0"/>
      </w:tabs>
      <w:suppressAutoHyphens/>
      <w:spacing w:before="120"/>
      <w:ind w:firstLine="720"/>
      <w:jc w:val="both"/>
    </w:pPr>
    <w:rPr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cs="Times New Roman"/>
      <w:sz w:val="20"/>
      <w:szCs w:val="20"/>
    </w:rPr>
  </w:style>
  <w:style w:type="paragraph" w:styleId="24">
    <w:name w:val="Body Text 2"/>
    <w:basedOn w:val="a"/>
    <w:link w:val="25"/>
    <w:uiPriority w:val="99"/>
    <w:pPr>
      <w:jc w:val="center"/>
    </w:pPr>
    <w:rPr>
      <w:b/>
      <w:bCs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Нормальный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37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4C2BCA"/>
    <w:pPr>
      <w:autoSpaceDE/>
      <w:autoSpaceDN/>
    </w:pPr>
    <w:rPr>
      <w:noProof/>
      <w:sz w:val="6"/>
      <w:szCs w:val="6"/>
    </w:rPr>
  </w:style>
  <w:style w:type="paragraph" w:customStyle="1" w:styleId="C">
    <w:name w:val="C."/>
    <w:basedOn w:val="a"/>
    <w:autoRedefine/>
    <w:uiPriority w:val="99"/>
    <w:rsid w:val="00ED3781"/>
    <w:pPr>
      <w:keepNext/>
      <w:spacing w:before="240" w:after="2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b">
    <w:name w:val="List"/>
    <w:basedOn w:val="a"/>
    <w:uiPriority w:val="99"/>
    <w:rsid w:val="00ED3781"/>
    <w:pPr>
      <w:tabs>
        <w:tab w:val="left" w:pos="567"/>
        <w:tab w:val="num" w:pos="643"/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customStyle="1" w:styleId="xl43">
    <w:name w:val="xl43"/>
    <w:basedOn w:val="a"/>
    <w:uiPriority w:val="99"/>
    <w:rsid w:val="00ED3781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ConsTitle">
    <w:name w:val="ConsTitle"/>
    <w:uiPriority w:val="99"/>
    <w:rsid w:val="00276A62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8138FA"/>
    <w:pPr>
      <w:widowControl w:val="0"/>
      <w:autoSpaceDE w:val="0"/>
      <w:autoSpaceDN w:val="0"/>
      <w:spacing w:before="2700"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table" w:styleId="ac">
    <w:name w:val="Table Grid"/>
    <w:basedOn w:val="a1"/>
    <w:uiPriority w:val="99"/>
    <w:rsid w:val="008B19B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654DB"/>
    <w:pPr>
      <w:spacing w:after="0" w:line="240" w:lineRule="auto"/>
    </w:pPr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011C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1C0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011C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1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011C0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AC3E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AC3E80"/>
    <w:pPr>
      <w:autoSpaceDE/>
      <w:autoSpaceDN/>
    </w:pPr>
    <w:rPr>
      <w:rFonts w:ascii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C3E80"/>
    <w:rPr>
      <w:rFonts w:ascii="Calibri" w:hAnsi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AC3E80"/>
    <w:rPr>
      <w:rFonts w:ascii="Times New Roman" w:hAnsi="Times New Roman" w:cs="Times New Roman" w:hint="default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6174A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6174A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61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5C2C-05E5-4B2C-A9FB-4E87DBE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Рязанцева Ирина Николаевна</cp:lastModifiedBy>
  <cp:revision>2</cp:revision>
  <cp:lastPrinted>2018-01-15T12:10:00Z</cp:lastPrinted>
  <dcterms:created xsi:type="dcterms:W3CDTF">2023-11-20T12:02:00Z</dcterms:created>
  <dcterms:modified xsi:type="dcterms:W3CDTF">2023-11-20T12:02:00Z</dcterms:modified>
</cp:coreProperties>
</file>