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6522" w:type="dxa"/>
        <w:tblInd w:w="3427" w:type="dxa"/>
        <w:tblLook w:val="04A0" w:firstRow="1" w:lastRow="0" w:firstColumn="1" w:lastColumn="0" w:noHBand="0" w:noVBand="1"/>
      </w:tblPr>
      <w:tblGrid>
        <w:gridCol w:w="3261"/>
        <w:gridCol w:w="3261"/>
      </w:tblGrid>
      <w:tr w:rsidR="00655DC2" w:rsidRPr="00987DA6" w:rsidTr="00995055">
        <w:tc>
          <w:tcPr>
            <w:tcW w:w="3261" w:type="dxa"/>
          </w:tcPr>
          <w:p w:rsidR="00655DC2" w:rsidRPr="00987DA6" w:rsidRDefault="00655DC2" w:rsidP="00995055">
            <w:pPr>
              <w:keepLines/>
              <w:tabs>
                <w:tab w:val="left" w:pos="6237"/>
              </w:tabs>
              <w:autoSpaceDE w:val="0"/>
              <w:autoSpaceDN w:val="0"/>
              <w:adjustRightInd w:val="0"/>
              <w:contextualSpacing/>
              <w:rPr>
                <w:rFonts w:ascii="Times New Roman" w:eastAsia="@Meiryo UI" w:hAnsi="Times New Roman" w:cs="Times New Roman"/>
                <w:b/>
                <w:sz w:val="18"/>
                <w:szCs w:val="18"/>
              </w:rPr>
            </w:pPr>
          </w:p>
        </w:tc>
        <w:tc>
          <w:tcPr>
            <w:tcW w:w="3261" w:type="dxa"/>
          </w:tcPr>
          <w:p w:rsidR="00655DC2" w:rsidRPr="00987DA6" w:rsidRDefault="00655DC2" w:rsidP="00995055">
            <w:pPr>
              <w:keepLines/>
              <w:tabs>
                <w:tab w:val="left" w:pos="6237"/>
              </w:tabs>
              <w:autoSpaceDE w:val="0"/>
              <w:autoSpaceDN w:val="0"/>
              <w:adjustRightInd w:val="0"/>
              <w:ind w:firstLine="0"/>
              <w:contextualSpacing/>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 xml:space="preserve">Приложение 4.4. </w:t>
            </w:r>
          </w:p>
          <w:p w:rsidR="00655DC2" w:rsidRPr="00987DA6" w:rsidRDefault="00655DC2" w:rsidP="00995055">
            <w:pPr>
              <w:keepLines/>
              <w:tabs>
                <w:tab w:val="left" w:pos="6237"/>
              </w:tabs>
              <w:autoSpaceDE w:val="0"/>
              <w:autoSpaceDN w:val="0"/>
              <w:adjustRightInd w:val="0"/>
              <w:ind w:firstLine="0"/>
              <w:contextualSpacing/>
              <w:rPr>
                <w:rFonts w:ascii="Times New Roman" w:eastAsia="@Meiryo UI" w:hAnsi="Times New Roman" w:cs="Times New Roman"/>
                <w:b/>
                <w:sz w:val="18"/>
                <w:szCs w:val="18"/>
              </w:rPr>
            </w:pPr>
            <w:r w:rsidRPr="00987DA6">
              <w:rPr>
                <w:rFonts w:ascii="Times New Roman" w:eastAsia="@Meiryo UI" w:hAnsi="Times New Roman" w:cs="Times New Roman"/>
                <w:b/>
                <w:sz w:val="18"/>
                <w:szCs w:val="18"/>
              </w:rPr>
              <w:t xml:space="preserve">к Информационным сведениям Клиента - юридического лица (филиала) </w:t>
            </w:r>
          </w:p>
          <w:p w:rsidR="00655DC2" w:rsidRPr="00987DA6" w:rsidRDefault="00655DC2" w:rsidP="00995055">
            <w:pPr>
              <w:keepLines/>
              <w:tabs>
                <w:tab w:val="left" w:pos="6237"/>
              </w:tabs>
              <w:autoSpaceDE w:val="0"/>
              <w:autoSpaceDN w:val="0"/>
              <w:adjustRightInd w:val="0"/>
              <w:contextualSpacing/>
              <w:jc w:val="right"/>
              <w:rPr>
                <w:rFonts w:ascii="Times New Roman" w:eastAsia="@Meiryo UI" w:hAnsi="Times New Roman" w:cs="Times New Roman"/>
                <w:b/>
                <w:sz w:val="18"/>
                <w:szCs w:val="18"/>
              </w:rPr>
            </w:pPr>
          </w:p>
        </w:tc>
      </w:tr>
    </w:tbl>
    <w:p w:rsidR="00655DC2" w:rsidRPr="00987DA6" w:rsidRDefault="00655DC2" w:rsidP="00655DC2">
      <w:pPr>
        <w:keepLines/>
        <w:jc w:val="center"/>
        <w:rPr>
          <w:rFonts w:ascii="Times New Roman" w:eastAsia="@Meiryo UI" w:hAnsi="Times New Roman" w:cs="Times New Roman"/>
          <w:b/>
          <w:sz w:val="20"/>
          <w:szCs w:val="20"/>
          <w:lang w:eastAsia="ru-RU"/>
        </w:rPr>
      </w:pPr>
      <w:r w:rsidRPr="00987DA6">
        <w:rPr>
          <w:rFonts w:ascii="Times New Roman" w:eastAsia="@Meiryo UI" w:hAnsi="Times New Roman" w:cs="Times New Roman"/>
          <w:b/>
          <w:sz w:val="20"/>
          <w:szCs w:val="20"/>
          <w:lang w:eastAsia="ru-RU"/>
        </w:rPr>
        <w:t xml:space="preserve">СВЕДЕНИЯ ДЛЯ ЦЕЛЕЙ </w:t>
      </w:r>
      <w:r w:rsidRPr="00987DA6">
        <w:rPr>
          <w:rFonts w:ascii="Times New Roman" w:eastAsia="@Meiryo UI" w:hAnsi="Times New Roman" w:cs="Times New Roman"/>
          <w:b/>
          <w:sz w:val="20"/>
          <w:szCs w:val="20"/>
          <w:lang w:val="en-US" w:eastAsia="ru-RU"/>
        </w:rPr>
        <w:t>CRS</w:t>
      </w:r>
      <w:r w:rsidRPr="00987DA6">
        <w:rPr>
          <w:rFonts w:ascii="Times New Roman" w:eastAsia="@Meiryo UI" w:hAnsi="Times New Roman" w:cs="Times New Roman"/>
          <w:b/>
          <w:sz w:val="20"/>
          <w:szCs w:val="20"/>
          <w:vertAlign w:val="superscript"/>
          <w:lang w:val="en-US" w:eastAsia="ru-RU"/>
        </w:rPr>
        <w:footnoteReference w:id="1"/>
      </w:r>
    </w:p>
    <w:p w:rsidR="00655DC2" w:rsidRPr="00987DA6" w:rsidRDefault="00655DC2" w:rsidP="00655DC2">
      <w:pPr>
        <w:keepLines/>
        <w:jc w:val="center"/>
        <w:rPr>
          <w:rFonts w:ascii="Times New Roman" w:eastAsia="@Meiryo UI" w:hAnsi="Times New Roman" w:cs="Times New Roman"/>
          <w:b/>
          <w:sz w:val="20"/>
          <w:szCs w:val="20"/>
          <w:lang w:eastAsia="ru-RU"/>
        </w:rPr>
      </w:pPr>
    </w:p>
    <w:p w:rsidR="00655DC2" w:rsidRPr="00987DA6" w:rsidRDefault="00655DC2" w:rsidP="00655DC2">
      <w:pPr>
        <w:keepLines/>
        <w:shd w:val="clear" w:color="auto" w:fill="FFFFFF"/>
        <w:rPr>
          <w:rFonts w:ascii="Times New Roman" w:eastAsia="@Meiryo UI" w:hAnsi="Times New Roman" w:cs="Times New Roman"/>
          <w:b/>
          <w:sz w:val="20"/>
          <w:szCs w:val="20"/>
        </w:rPr>
      </w:pPr>
      <w:r w:rsidRPr="00987DA6">
        <w:rPr>
          <w:rFonts w:ascii="@Meiryo UI" w:eastAsia="@Meiryo UI" w:hAnsi="Times New Roman" w:cs="Times New Roman"/>
          <w:b/>
          <w:sz w:val="20"/>
          <w:szCs w:val="20"/>
          <w:lang w:eastAsia="ru-RU"/>
        </w:rPr>
        <w:t xml:space="preserve">     </w:t>
      </w:r>
      <w:r w:rsidRPr="00987DA6">
        <w:rPr>
          <w:rFonts w:ascii="Times New Roman" w:eastAsia="@Meiryo UI" w:hAnsi="Times New Roman" w:cs="Times New Roman"/>
          <w:b/>
          <w:sz w:val="20"/>
          <w:szCs w:val="20"/>
        </w:rPr>
        <w:t xml:space="preserve">     КЛИЕНТА ___________________________________        ИНН ________________________</w:t>
      </w:r>
    </w:p>
    <w:p w:rsidR="00655DC2" w:rsidRPr="00987DA6" w:rsidRDefault="00655DC2" w:rsidP="00655DC2">
      <w:pPr>
        <w:keepLines/>
        <w:shd w:val="clear" w:color="auto" w:fill="FFFFFF"/>
        <w:rPr>
          <w:rFonts w:ascii="Times New Roman" w:hAnsi="Times New Roman" w:cs="Times New Roman"/>
          <w:bCs/>
          <w:i/>
          <w:iCs/>
          <w:sz w:val="18"/>
          <w:szCs w:val="18"/>
        </w:rPr>
      </w:pPr>
      <w:r w:rsidRPr="00987DA6">
        <w:rPr>
          <w:rFonts w:ascii="Times New Roman" w:hAnsi="Times New Roman" w:cs="Times New Roman"/>
          <w:i/>
          <w:iCs/>
          <w:sz w:val="20"/>
          <w:szCs w:val="20"/>
        </w:rPr>
        <w:t xml:space="preserve">              </w:t>
      </w:r>
      <w:r w:rsidRPr="00987DA6">
        <w:rPr>
          <w:rFonts w:ascii="Times New Roman" w:hAnsi="Times New Roman" w:cs="Times New Roman"/>
          <w:i/>
          <w:iCs/>
          <w:sz w:val="18"/>
          <w:szCs w:val="18"/>
        </w:rPr>
        <w:t>(Н</w:t>
      </w:r>
      <w:r w:rsidRPr="00987DA6">
        <w:rPr>
          <w:rFonts w:ascii="Times New Roman" w:hAnsi="Times New Roman" w:cs="Times New Roman"/>
          <w:bCs/>
          <w:i/>
          <w:iCs/>
          <w:sz w:val="18"/>
          <w:szCs w:val="18"/>
        </w:rPr>
        <w:t>аименование организации Клиента-ЮЛ)</w:t>
      </w:r>
    </w:p>
    <w:p w:rsidR="00655DC2" w:rsidRPr="00987DA6" w:rsidRDefault="00655DC2" w:rsidP="00655DC2">
      <w:pPr>
        <w:keepLines/>
        <w:shd w:val="clear" w:color="auto" w:fill="FFFFFF"/>
        <w:rPr>
          <w:rFonts w:ascii="Times New Roman" w:hAnsi="Times New Roman" w:cs="Times New Roman"/>
          <w:bCs/>
          <w:i/>
          <w:iCs/>
          <w:sz w:val="10"/>
          <w:szCs w:val="10"/>
        </w:rPr>
      </w:pPr>
    </w:p>
    <w:p w:rsidR="00655DC2" w:rsidRPr="00987DA6" w:rsidRDefault="00655DC2" w:rsidP="00655DC2">
      <w:pPr>
        <w:keepLines/>
        <w:tabs>
          <w:tab w:val="left" w:pos="567"/>
        </w:tabs>
        <w:spacing w:before="60"/>
        <w:ind w:firstLine="0"/>
        <w:rPr>
          <w:rFonts w:ascii="Times New Roman" w:eastAsia="@Meiryo UI" w:hAnsi="Times New Roman" w:cs="Times New Roman"/>
          <w:i/>
          <w:sz w:val="20"/>
          <w:szCs w:val="20"/>
          <w:lang w:eastAsia="ru-RU"/>
        </w:rPr>
      </w:pPr>
      <w:r w:rsidRPr="00987DA6">
        <w:rPr>
          <w:rFonts w:ascii="Times New Roman" w:eastAsia="@Meiryo UI" w:hAnsi="Times New Roman" w:cs="Times New Roman"/>
          <w:i/>
          <w:sz w:val="20"/>
          <w:szCs w:val="20"/>
          <w:lang w:eastAsia="ru-RU"/>
        </w:rPr>
        <w:t>(При заполнении сведений не должно быть пустых граф, при отсутствии реквизита проставляется «нет»)</w:t>
      </w:r>
    </w:p>
    <w:tbl>
      <w:tblPr>
        <w:tblW w:w="103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1984"/>
        <w:gridCol w:w="2439"/>
        <w:gridCol w:w="1200"/>
        <w:gridCol w:w="4158"/>
      </w:tblGrid>
      <w:tr w:rsidR="00655DC2" w:rsidRPr="00987DA6" w:rsidTr="00995055">
        <w:trPr>
          <w:trHeight w:val="937"/>
        </w:trPr>
        <w:tc>
          <w:tcPr>
            <w:tcW w:w="539" w:type="dxa"/>
            <w:shd w:val="clear" w:color="auto" w:fill="FFFFFF"/>
          </w:tcPr>
          <w:p w:rsidR="00655DC2" w:rsidRPr="00987DA6" w:rsidRDefault="00655DC2" w:rsidP="00995055">
            <w:pPr>
              <w:keepLines/>
              <w:spacing w:line="288" w:lineRule="auto"/>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val="en-US" w:eastAsia="ru-RU"/>
              </w:rPr>
              <w:t>1</w:t>
            </w:r>
            <w:r w:rsidRPr="00987DA6">
              <w:rPr>
                <w:rFonts w:ascii="Times New Roman" w:eastAsia="Times New Roman" w:hAnsi="Times New Roman" w:cs="Times New Roman"/>
                <w:sz w:val="20"/>
                <w:szCs w:val="20"/>
                <w:lang w:eastAsia="ru-RU"/>
              </w:rPr>
              <w:t>1</w:t>
            </w:r>
          </w:p>
        </w:tc>
        <w:tc>
          <w:tcPr>
            <w:tcW w:w="4423" w:type="dxa"/>
            <w:gridSpan w:val="2"/>
            <w:shd w:val="clear" w:color="auto" w:fill="FFFFFF"/>
          </w:tcPr>
          <w:p w:rsidR="00655DC2" w:rsidRPr="00987DA6" w:rsidRDefault="00655DC2" w:rsidP="00995055">
            <w:pPr>
              <w:keepLines/>
              <w:ind w:hanging="1"/>
              <w:rPr>
                <w:rFonts w:ascii="Times New Roman" w:eastAsia="Times New Roman" w:hAnsi="Times New Roman" w:cs="Times New Roman"/>
                <w:sz w:val="20"/>
                <w:szCs w:val="20"/>
                <w:lang w:eastAsia="ru-RU"/>
              </w:rPr>
            </w:pPr>
            <w:r w:rsidRPr="00987DA6">
              <w:rPr>
                <w:rFonts w:ascii="Times New Roman" w:hAnsi="Times New Roman" w:cs="Times New Roman"/>
                <w:sz w:val="20"/>
                <w:lang w:eastAsia="ru-RU"/>
              </w:rPr>
              <w:t>Юридическое лицо включено в перечень</w:t>
            </w:r>
            <w:r w:rsidRPr="00987DA6">
              <w:rPr>
                <w:rFonts w:ascii="Times New Roman" w:hAnsi="Times New Roman" w:cs="Times New Roman"/>
                <w:sz w:val="20"/>
                <w:vertAlign w:val="superscript"/>
                <w:lang w:eastAsia="ru-RU"/>
              </w:rPr>
              <w:footnoteReference w:id="2"/>
            </w:r>
            <w:r w:rsidRPr="00987DA6">
              <w:rPr>
                <w:rFonts w:ascii="Times New Roman" w:hAnsi="Times New Roman" w:cs="Times New Roman"/>
                <w:sz w:val="20"/>
                <w:lang w:eastAsia="ru-RU"/>
              </w:rPr>
              <w:t xml:space="preserve"> </w:t>
            </w:r>
            <w:r w:rsidRPr="00987DA6">
              <w:rPr>
                <w:rFonts w:ascii="Times New Roman" w:hAnsi="Times New Roman" w:cs="Times New Roman"/>
                <w:sz w:val="20"/>
              </w:rPr>
              <w:t>Организаций, в отношении которых не применяются положения Главы 20.1 НК РФ?</w:t>
            </w:r>
            <w:r w:rsidRPr="00987DA6">
              <w:rPr>
                <w:rFonts w:ascii="Times New Roman" w:hAnsi="Times New Roman" w:cs="Times New Roman"/>
                <w:sz w:val="20"/>
                <w:lang w:eastAsia="ru-RU"/>
              </w:rPr>
              <w:t xml:space="preserve"> </w:t>
            </w:r>
            <w:r w:rsidRPr="00987DA6">
              <w:rPr>
                <w:rFonts w:ascii="Times New Roman" w:hAnsi="Times New Roman"/>
                <w:sz w:val="20"/>
                <w:lang w:eastAsia="ru-RU"/>
              </w:rPr>
              <w:t xml:space="preserve"> </w:t>
            </w:r>
          </w:p>
        </w:tc>
        <w:tc>
          <w:tcPr>
            <w:tcW w:w="5358" w:type="dxa"/>
            <w:gridSpan w:val="2"/>
            <w:shd w:val="clear" w:color="auto" w:fill="FFFFFF"/>
          </w:tcPr>
          <w:p w:rsidR="00655DC2" w:rsidRPr="00987DA6" w:rsidRDefault="00655DC2" w:rsidP="00995055">
            <w:pPr>
              <w:keepLines/>
              <w:ind w:hanging="1"/>
              <w:rPr>
                <w:rFonts w:ascii="Times New Roman" w:eastAsia="Times New Roman" w:hAnsi="Times New Roman" w:cs="Times New Roman"/>
                <w:i/>
                <w:sz w:val="20"/>
                <w:szCs w:val="20"/>
                <w:lang w:eastAsia="ru-RU"/>
              </w:rPr>
            </w:pPr>
            <w:r w:rsidRPr="00987DA6">
              <w:rPr>
                <w:rFonts w:ascii="MS Gothic" w:eastAsia="MS Gothic" w:hAnsi="MS Gothic" w:cs="Times New Roman"/>
                <w:sz w:val="20"/>
                <w:szCs w:val="20"/>
                <w:lang w:eastAsia="ru-RU"/>
              </w:rPr>
              <w:t>☐</w:t>
            </w:r>
            <w:r w:rsidRPr="00987DA6">
              <w:rPr>
                <w:rFonts w:ascii="Times New Roman" w:eastAsia="Times New Roman" w:hAnsi="Times New Roman" w:cs="Times New Roman"/>
                <w:sz w:val="20"/>
                <w:szCs w:val="20"/>
                <w:lang w:eastAsia="ru-RU"/>
              </w:rPr>
              <w:t>ДА</w:t>
            </w:r>
          </w:p>
          <w:p w:rsidR="00655DC2" w:rsidRPr="00987DA6" w:rsidRDefault="00655DC2" w:rsidP="00995055">
            <w:pPr>
              <w:keepLines/>
              <w:ind w:hanging="1"/>
              <w:rPr>
                <w:rFonts w:ascii="Times New Roman" w:eastAsia="Times New Roman" w:hAnsi="Times New Roman" w:cs="Times New Roman"/>
                <w:sz w:val="20"/>
                <w:szCs w:val="20"/>
                <w:lang w:eastAsia="ru-RU"/>
              </w:rPr>
            </w:pPr>
            <w:r w:rsidRPr="00987DA6">
              <w:rPr>
                <w:rFonts w:ascii="MS Gothic" w:eastAsia="MS Gothic" w:hAnsi="MS Gothic" w:cs="Times New Roman"/>
                <w:sz w:val="20"/>
                <w:szCs w:val="20"/>
                <w:lang w:eastAsia="ru-RU"/>
              </w:rPr>
              <w:t>☐</w:t>
            </w:r>
            <w:r w:rsidRPr="00987DA6">
              <w:rPr>
                <w:rFonts w:ascii="Times New Roman" w:eastAsia="Times New Roman" w:hAnsi="Times New Roman" w:cs="Times New Roman"/>
                <w:sz w:val="20"/>
                <w:szCs w:val="20"/>
                <w:lang w:eastAsia="ru-RU"/>
              </w:rPr>
              <w:t>НЕТ</w:t>
            </w:r>
          </w:p>
        </w:tc>
      </w:tr>
      <w:tr w:rsidR="00655DC2" w:rsidRPr="00987DA6" w:rsidTr="00995055">
        <w:trPr>
          <w:trHeight w:val="221"/>
        </w:trPr>
        <w:tc>
          <w:tcPr>
            <w:tcW w:w="10320" w:type="dxa"/>
            <w:gridSpan w:val="5"/>
            <w:shd w:val="clear" w:color="auto" w:fill="FFFFFF"/>
          </w:tcPr>
          <w:p w:rsidR="00655DC2" w:rsidRPr="00987DA6" w:rsidRDefault="00655DC2" w:rsidP="00995055">
            <w:pPr>
              <w:keepLines/>
              <w:ind w:hanging="1"/>
              <w:rPr>
                <w:rFonts w:ascii="Times New Roman" w:eastAsia="Times New Roman" w:hAnsi="Times New Roman" w:cs="Times New Roman"/>
                <w:i/>
                <w:sz w:val="18"/>
                <w:szCs w:val="18"/>
                <w:lang w:eastAsia="ru-RU"/>
              </w:rPr>
            </w:pPr>
            <w:r w:rsidRPr="00987DA6">
              <w:rPr>
                <w:rFonts w:ascii="Times New Roman" w:eastAsia="Times New Roman" w:hAnsi="Times New Roman" w:cs="Times New Roman"/>
                <w:i/>
                <w:sz w:val="18"/>
                <w:szCs w:val="18"/>
                <w:lang w:eastAsia="ru-RU"/>
              </w:rPr>
              <w:t>Вопрос 2 заполняется в случае, если в вопросе 1 указано «Нет».</w:t>
            </w:r>
          </w:p>
        </w:tc>
      </w:tr>
      <w:tr w:rsidR="00655DC2" w:rsidRPr="00987DA6" w:rsidTr="00995055">
        <w:trPr>
          <w:trHeight w:val="2241"/>
        </w:trPr>
        <w:tc>
          <w:tcPr>
            <w:tcW w:w="539" w:type="dxa"/>
            <w:shd w:val="clear" w:color="auto" w:fill="FFFFFF"/>
          </w:tcPr>
          <w:p w:rsidR="00655DC2" w:rsidRPr="00987DA6" w:rsidRDefault="00655DC2" w:rsidP="00995055">
            <w:pPr>
              <w:keepLines/>
              <w:spacing w:line="288" w:lineRule="auto"/>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val="en-US" w:eastAsia="ru-RU"/>
              </w:rPr>
              <w:t>2</w:t>
            </w:r>
            <w:r w:rsidRPr="00987DA6">
              <w:rPr>
                <w:rFonts w:ascii="Times New Roman" w:eastAsia="Times New Roman" w:hAnsi="Times New Roman" w:cs="Times New Roman"/>
                <w:sz w:val="20"/>
                <w:szCs w:val="20"/>
                <w:lang w:eastAsia="ru-RU"/>
              </w:rPr>
              <w:t>2</w:t>
            </w:r>
          </w:p>
        </w:tc>
        <w:tc>
          <w:tcPr>
            <w:tcW w:w="4423" w:type="dxa"/>
            <w:gridSpan w:val="2"/>
            <w:shd w:val="clear" w:color="auto" w:fill="FFFFFF"/>
          </w:tcPr>
          <w:p w:rsidR="00655DC2" w:rsidRPr="00987DA6" w:rsidRDefault="00655DC2" w:rsidP="00995055">
            <w:pPr>
              <w:keepLines/>
              <w:ind w:hanging="1"/>
              <w:rPr>
                <w:rFonts w:ascii="Times New Roman" w:eastAsia="Times New Roman" w:hAnsi="Times New Roman" w:cs="Times New Roman"/>
                <w:sz w:val="20"/>
                <w:szCs w:val="20"/>
                <w:lang w:eastAsia="ru-RU"/>
              </w:rPr>
            </w:pPr>
            <w:r w:rsidRPr="00987DA6">
              <w:rPr>
                <w:rFonts w:ascii="Times New Roman" w:eastAsia="Times New Roman" w:hAnsi="Times New Roman"/>
                <w:sz w:val="20"/>
                <w:szCs w:val="20"/>
                <w:lang w:eastAsia="ru-RU"/>
              </w:rPr>
              <w:t>Является ли юридическое лицо Организацией финансового рынка</w:t>
            </w:r>
            <w:r w:rsidRPr="00987DA6">
              <w:rPr>
                <w:rFonts w:ascii="Times New Roman" w:eastAsia="Times New Roman" w:hAnsi="Times New Roman"/>
                <w:sz w:val="20"/>
                <w:szCs w:val="20"/>
                <w:vertAlign w:val="superscript"/>
                <w:lang w:eastAsia="ru-RU"/>
              </w:rPr>
              <w:footnoteReference w:id="3"/>
            </w:r>
            <w:r w:rsidRPr="00987DA6">
              <w:rPr>
                <w:rFonts w:ascii="Times New Roman" w:eastAsia="Times New Roman" w:hAnsi="Times New Roman"/>
                <w:sz w:val="20"/>
                <w:szCs w:val="20"/>
                <w:lang w:eastAsia="ru-RU"/>
              </w:rPr>
              <w:t xml:space="preserve"> для целей Главы 20.1 НК РФ?</w:t>
            </w:r>
          </w:p>
        </w:tc>
        <w:tc>
          <w:tcPr>
            <w:tcW w:w="5358" w:type="dxa"/>
            <w:gridSpan w:val="2"/>
            <w:shd w:val="clear" w:color="auto" w:fill="FFFFFF"/>
          </w:tcPr>
          <w:p w:rsidR="00655DC2" w:rsidRPr="00987DA6" w:rsidRDefault="00655DC2" w:rsidP="00995055">
            <w:pPr>
              <w:keepLines/>
              <w:ind w:firstLine="169"/>
              <w:rPr>
                <w:rFonts w:ascii="Times New Roman" w:eastAsia="Times New Roman" w:hAnsi="Times New Roman"/>
                <w:sz w:val="20"/>
                <w:szCs w:val="20"/>
                <w:lang w:eastAsia="ru-RU"/>
              </w:rPr>
            </w:pPr>
            <w:r w:rsidRPr="00987DA6">
              <w:rPr>
                <w:rFonts w:ascii="MS Gothic" w:eastAsia="MS Gothic" w:hAnsi="MS Gothic"/>
                <w:sz w:val="20"/>
                <w:szCs w:val="20"/>
                <w:lang w:eastAsia="ru-RU"/>
              </w:rPr>
              <w:t>☐</w:t>
            </w:r>
            <w:r w:rsidRPr="00987DA6">
              <w:rPr>
                <w:rFonts w:ascii="Times New Roman" w:eastAsia="Times New Roman" w:hAnsi="Times New Roman"/>
                <w:sz w:val="20"/>
                <w:szCs w:val="20"/>
                <w:lang w:eastAsia="ru-RU"/>
              </w:rPr>
              <w:t xml:space="preserve">ДА, юридическое лицо является Организацией финансового рынка для целей Главы 20.1 НК РФ; </w:t>
            </w:r>
            <w:proofErr w:type="gramStart"/>
            <w:r w:rsidRPr="00987DA6">
              <w:rPr>
                <w:rFonts w:ascii="Times New Roman" w:eastAsia="Times New Roman" w:hAnsi="Times New Roman"/>
                <w:sz w:val="20"/>
                <w:szCs w:val="20"/>
                <w:lang w:eastAsia="ru-RU"/>
              </w:rPr>
              <w:t>в частности</w:t>
            </w:r>
            <w:proofErr w:type="gramEnd"/>
            <w:r w:rsidRPr="00987DA6">
              <w:rPr>
                <w:rFonts w:ascii="Times New Roman" w:eastAsia="Times New Roman" w:hAnsi="Times New Roman"/>
                <w:sz w:val="20"/>
                <w:szCs w:val="20"/>
                <w:lang w:eastAsia="ru-RU"/>
              </w:rPr>
              <w:t>:</w:t>
            </w:r>
          </w:p>
          <w:p w:rsidR="00655DC2" w:rsidRPr="00987DA6" w:rsidRDefault="00655DC2" w:rsidP="00995055">
            <w:pPr>
              <w:keepLines/>
              <w:tabs>
                <w:tab w:val="left" w:pos="531"/>
              </w:tabs>
              <w:ind w:left="531" w:firstLine="169"/>
              <w:rPr>
                <w:rFonts w:ascii="Times New Roman" w:hAnsi="Times New Roman"/>
                <w:sz w:val="20"/>
                <w:szCs w:val="20"/>
              </w:rPr>
            </w:pPr>
            <w:r w:rsidRPr="00987DA6">
              <w:rPr>
                <w:rFonts w:ascii="MS Gothic" w:eastAsia="MS Gothic" w:hAnsi="MS Gothic"/>
                <w:sz w:val="20"/>
                <w:szCs w:val="20"/>
                <w:lang w:eastAsia="ru-RU"/>
              </w:rPr>
              <w:t>☐</w:t>
            </w:r>
            <w:r w:rsidRPr="00987DA6">
              <w:rPr>
                <w:rFonts w:ascii="Times New Roman" w:eastAsia="Times New Roman" w:hAnsi="Times New Roman"/>
                <w:sz w:val="20"/>
                <w:szCs w:val="20"/>
                <w:lang w:eastAsia="ru-RU"/>
              </w:rPr>
              <w:t xml:space="preserve">Да, является </w:t>
            </w:r>
            <w:r w:rsidRPr="00987DA6">
              <w:rPr>
                <w:rFonts w:ascii="Times New Roman" w:hAnsi="Times New Roman"/>
                <w:sz w:val="20"/>
                <w:szCs w:val="20"/>
              </w:rPr>
              <w:t xml:space="preserve">организацией финансового рынка, основной доход которой происходит от инвестиций или торговли </w:t>
            </w:r>
            <w:proofErr w:type="gramStart"/>
            <w:r w:rsidRPr="00987DA6">
              <w:rPr>
                <w:rFonts w:ascii="Times New Roman" w:hAnsi="Times New Roman"/>
                <w:sz w:val="20"/>
                <w:szCs w:val="20"/>
              </w:rPr>
              <w:t>финансовыми активами</w:t>
            </w:r>
            <w:proofErr w:type="gramEnd"/>
            <w:r w:rsidRPr="00987DA6">
              <w:rPr>
                <w:rFonts w:ascii="Times New Roman" w:hAnsi="Times New Roman"/>
                <w:sz w:val="20"/>
                <w:szCs w:val="20"/>
              </w:rPr>
              <w:t xml:space="preserve"> и которая управляется иной организацией финансового рынка.</w:t>
            </w:r>
          </w:p>
          <w:p w:rsidR="00655DC2" w:rsidRPr="00987DA6" w:rsidRDefault="00655DC2" w:rsidP="00995055">
            <w:pPr>
              <w:keepLines/>
              <w:tabs>
                <w:tab w:val="left" w:pos="531"/>
              </w:tabs>
              <w:ind w:left="531" w:firstLine="169"/>
              <w:rPr>
                <w:rFonts w:ascii="Times New Roman" w:eastAsia="Times New Roman" w:hAnsi="Times New Roman"/>
                <w:sz w:val="20"/>
                <w:szCs w:val="20"/>
                <w:lang w:eastAsia="ru-RU"/>
              </w:rPr>
            </w:pPr>
            <w:r w:rsidRPr="00987DA6">
              <w:rPr>
                <w:rFonts w:ascii="MS Gothic" w:eastAsia="MS Gothic" w:hAnsi="MS Gothic"/>
                <w:sz w:val="20"/>
                <w:szCs w:val="20"/>
                <w:lang w:eastAsia="ru-RU"/>
              </w:rPr>
              <w:t>☐</w:t>
            </w:r>
            <w:r w:rsidRPr="00987DA6">
              <w:rPr>
                <w:rFonts w:ascii="Times New Roman" w:eastAsia="Times New Roman" w:hAnsi="Times New Roman"/>
                <w:sz w:val="20"/>
                <w:szCs w:val="20"/>
                <w:lang w:eastAsia="ru-RU"/>
              </w:rPr>
              <w:t>Да, по иным основаниям</w:t>
            </w:r>
          </w:p>
          <w:p w:rsidR="00655DC2" w:rsidRPr="00987DA6" w:rsidRDefault="00655DC2" w:rsidP="00995055">
            <w:pPr>
              <w:keepLines/>
              <w:ind w:firstLine="169"/>
              <w:rPr>
                <w:rFonts w:ascii="Times New Roman" w:eastAsia="Times New Roman" w:hAnsi="Times New Roman" w:cs="Times New Roman"/>
                <w:sz w:val="20"/>
                <w:szCs w:val="20"/>
                <w:lang w:eastAsia="ru-RU"/>
              </w:rPr>
            </w:pPr>
            <w:r w:rsidRPr="00987DA6">
              <w:rPr>
                <w:rFonts w:ascii="MS Gothic" w:eastAsia="MS Gothic" w:hAnsi="MS Gothic"/>
                <w:sz w:val="20"/>
                <w:szCs w:val="20"/>
                <w:lang w:eastAsia="ru-RU"/>
              </w:rPr>
              <w:t>☐</w:t>
            </w:r>
            <w:r w:rsidRPr="00987DA6">
              <w:rPr>
                <w:rFonts w:ascii="Times New Roman" w:eastAsia="Times New Roman" w:hAnsi="Times New Roman"/>
                <w:sz w:val="20"/>
                <w:szCs w:val="20"/>
                <w:lang w:eastAsia="ru-RU"/>
              </w:rPr>
              <w:t>НЕТ, юридическое лицо не является Организацией финансового рынка для целей Главы 20.1 НК РФ.</w:t>
            </w:r>
          </w:p>
        </w:tc>
      </w:tr>
      <w:tr w:rsidR="00655DC2" w:rsidRPr="00987DA6" w:rsidTr="00995055">
        <w:tc>
          <w:tcPr>
            <w:tcW w:w="10320" w:type="dxa"/>
            <w:gridSpan w:val="5"/>
          </w:tcPr>
          <w:p w:rsidR="00655DC2" w:rsidRPr="00987DA6" w:rsidRDefault="00655DC2" w:rsidP="00995055">
            <w:pPr>
              <w:keepLines/>
              <w:ind w:hanging="1"/>
              <w:rPr>
                <w:rFonts w:ascii="Times New Roman" w:eastAsia="Times New Roman" w:hAnsi="Times New Roman" w:cs="Times New Roman"/>
                <w:i/>
                <w:sz w:val="18"/>
                <w:szCs w:val="18"/>
                <w:lang w:eastAsia="ru-RU"/>
              </w:rPr>
            </w:pPr>
            <w:r w:rsidRPr="00987DA6">
              <w:rPr>
                <w:rFonts w:ascii="Times New Roman" w:eastAsia="Times New Roman" w:hAnsi="Times New Roman" w:cs="Times New Roman"/>
                <w:i/>
                <w:sz w:val="18"/>
                <w:szCs w:val="18"/>
                <w:lang w:eastAsia="ru-RU"/>
              </w:rPr>
              <w:t>Вопрос 3 заполняется в случае, если в вопросе 2 указано «Нет» или «Да», является инвестиционной организацией</w:t>
            </w:r>
          </w:p>
        </w:tc>
      </w:tr>
      <w:tr w:rsidR="00655DC2" w:rsidRPr="00987DA6" w:rsidTr="00995055">
        <w:trPr>
          <w:trHeight w:val="1157"/>
        </w:trPr>
        <w:tc>
          <w:tcPr>
            <w:tcW w:w="539" w:type="dxa"/>
            <w:shd w:val="clear" w:color="auto" w:fill="FFFFFF"/>
          </w:tcPr>
          <w:p w:rsidR="00655DC2" w:rsidRPr="00987DA6" w:rsidRDefault="00655DC2" w:rsidP="00995055">
            <w:pPr>
              <w:keepLines/>
              <w:spacing w:line="288" w:lineRule="auto"/>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val="en-US" w:eastAsia="ru-RU"/>
              </w:rPr>
              <w:t>3</w:t>
            </w:r>
            <w:r w:rsidRPr="00987DA6">
              <w:rPr>
                <w:rFonts w:ascii="Times New Roman" w:eastAsia="Times New Roman" w:hAnsi="Times New Roman" w:cs="Times New Roman"/>
                <w:sz w:val="20"/>
                <w:szCs w:val="20"/>
                <w:lang w:eastAsia="ru-RU"/>
              </w:rPr>
              <w:t>3</w:t>
            </w:r>
          </w:p>
        </w:tc>
        <w:tc>
          <w:tcPr>
            <w:tcW w:w="4423" w:type="dxa"/>
            <w:gridSpan w:val="2"/>
            <w:shd w:val="clear" w:color="auto" w:fill="FFFFFF"/>
          </w:tcPr>
          <w:p w:rsidR="00655DC2" w:rsidRPr="00987DA6" w:rsidRDefault="00655DC2" w:rsidP="00995055">
            <w:pPr>
              <w:keepLines/>
              <w:ind w:hanging="1"/>
              <w:rPr>
                <w:rFonts w:ascii="Times New Roman" w:eastAsia="Times New Roman" w:hAnsi="Times New Roman" w:cs="Times New Roman"/>
                <w:sz w:val="20"/>
                <w:szCs w:val="20"/>
                <w:lang w:eastAsia="ru-RU"/>
              </w:rPr>
            </w:pPr>
            <w:r w:rsidRPr="00987DA6">
              <w:rPr>
                <w:rFonts w:ascii="Times New Roman" w:eastAsia="Times New Roman" w:hAnsi="Times New Roman"/>
                <w:sz w:val="20"/>
                <w:szCs w:val="20"/>
                <w:lang w:eastAsia="ru-RU"/>
              </w:rPr>
              <w:t xml:space="preserve">Организация относится к </w:t>
            </w:r>
            <w:r w:rsidRPr="00987DA6">
              <w:rPr>
                <w:rFonts w:ascii="Times New Roman" w:hAnsi="Times New Roman"/>
                <w:sz w:val="20"/>
                <w:szCs w:val="20"/>
              </w:rPr>
              <w:t xml:space="preserve">организации, (1) акции которой обращаются на организованных торгах в РФ или на иностранной бирже; или (2) прямо или косвенно контролируется организацией (1)/ </w:t>
            </w:r>
            <w:r w:rsidRPr="00987DA6">
              <w:rPr>
                <w:rFonts w:ascii="Times New Roman" w:hAnsi="Times New Roman"/>
                <w:sz w:val="20"/>
                <w:szCs w:val="20"/>
                <w:lang w:val="en-US"/>
              </w:rPr>
              <w:t>c</w:t>
            </w:r>
            <w:proofErr w:type="spellStart"/>
            <w:r w:rsidRPr="00987DA6">
              <w:rPr>
                <w:rFonts w:ascii="Times New Roman" w:hAnsi="Times New Roman"/>
                <w:sz w:val="20"/>
                <w:szCs w:val="20"/>
              </w:rPr>
              <w:t>ама</w:t>
            </w:r>
            <w:proofErr w:type="spellEnd"/>
            <w:r w:rsidRPr="00987DA6">
              <w:rPr>
                <w:rFonts w:ascii="Times New Roman" w:hAnsi="Times New Roman"/>
                <w:sz w:val="20"/>
                <w:szCs w:val="20"/>
              </w:rPr>
              <w:t xml:space="preserve"> контролирует организацию (1); или (3) прямо или косвенно контролируется другой организацией, которая одновременно прямо или косвенно контролирует организацию (1)?</w:t>
            </w:r>
          </w:p>
        </w:tc>
        <w:tc>
          <w:tcPr>
            <w:tcW w:w="5358" w:type="dxa"/>
            <w:gridSpan w:val="2"/>
            <w:shd w:val="clear" w:color="auto" w:fill="FFFFFF"/>
          </w:tcPr>
          <w:p w:rsidR="00655DC2" w:rsidRPr="00987DA6" w:rsidRDefault="00655DC2" w:rsidP="00995055">
            <w:pPr>
              <w:keepLines/>
              <w:ind w:hanging="1"/>
              <w:rPr>
                <w:rFonts w:ascii="MS Gothic" w:eastAsia="MS Gothic" w:hAnsi="MS Gothic" w:cs="Times New Roman"/>
                <w:sz w:val="20"/>
                <w:szCs w:val="20"/>
                <w:lang w:eastAsia="ru-RU"/>
              </w:rPr>
            </w:pPr>
          </w:p>
          <w:p w:rsidR="00655DC2" w:rsidRPr="00987DA6" w:rsidRDefault="00655DC2" w:rsidP="00995055">
            <w:pPr>
              <w:keepLines/>
              <w:ind w:hanging="1"/>
              <w:rPr>
                <w:rFonts w:ascii="Times New Roman" w:eastAsia="Times New Roman" w:hAnsi="Times New Roman" w:cs="Times New Roman"/>
                <w:sz w:val="20"/>
                <w:szCs w:val="20"/>
                <w:lang w:eastAsia="ru-RU"/>
              </w:rPr>
            </w:pPr>
            <w:r w:rsidRPr="00987DA6">
              <w:rPr>
                <w:rFonts w:ascii="MS Gothic" w:eastAsia="MS Gothic" w:hAnsi="MS Gothic" w:cs="Times New Roman"/>
                <w:sz w:val="20"/>
                <w:szCs w:val="20"/>
                <w:lang w:eastAsia="ru-RU"/>
              </w:rPr>
              <w:t>☐</w:t>
            </w:r>
            <w:r w:rsidRPr="00987DA6">
              <w:rPr>
                <w:rFonts w:ascii="Times New Roman" w:eastAsia="Times New Roman" w:hAnsi="Times New Roman" w:cs="Times New Roman"/>
                <w:sz w:val="20"/>
                <w:szCs w:val="20"/>
                <w:lang w:eastAsia="ru-RU"/>
              </w:rPr>
              <w:t>ДА</w:t>
            </w:r>
          </w:p>
          <w:p w:rsidR="00655DC2" w:rsidRPr="00987DA6" w:rsidRDefault="00655DC2" w:rsidP="00995055">
            <w:pPr>
              <w:keepLines/>
              <w:ind w:hanging="1"/>
              <w:rPr>
                <w:rFonts w:ascii="Times New Roman" w:eastAsia="Times New Roman" w:hAnsi="Times New Roman" w:cs="Times New Roman"/>
                <w:sz w:val="20"/>
                <w:szCs w:val="20"/>
                <w:lang w:eastAsia="ru-RU"/>
              </w:rPr>
            </w:pPr>
          </w:p>
          <w:p w:rsidR="00655DC2" w:rsidRPr="00987DA6" w:rsidRDefault="00655DC2" w:rsidP="00995055">
            <w:pPr>
              <w:keepLines/>
              <w:ind w:hanging="1"/>
              <w:rPr>
                <w:rFonts w:ascii="Times New Roman" w:eastAsia="Times New Roman" w:hAnsi="Times New Roman" w:cs="Times New Roman"/>
                <w:sz w:val="20"/>
                <w:szCs w:val="20"/>
                <w:lang w:eastAsia="ru-RU"/>
              </w:rPr>
            </w:pPr>
          </w:p>
          <w:p w:rsidR="00655DC2" w:rsidRPr="00987DA6" w:rsidRDefault="00655DC2" w:rsidP="00995055">
            <w:pPr>
              <w:keepLines/>
              <w:ind w:hanging="1"/>
              <w:rPr>
                <w:rFonts w:ascii="Times New Roman" w:eastAsia="Times New Roman" w:hAnsi="Times New Roman" w:cs="Times New Roman"/>
                <w:sz w:val="20"/>
                <w:szCs w:val="20"/>
                <w:lang w:eastAsia="ru-RU"/>
              </w:rPr>
            </w:pPr>
            <w:r w:rsidRPr="00987DA6">
              <w:rPr>
                <w:rFonts w:ascii="MS Gothic" w:eastAsia="MS Gothic" w:hAnsi="MS Gothic" w:cs="Times New Roman"/>
                <w:sz w:val="20"/>
                <w:szCs w:val="20"/>
                <w:lang w:eastAsia="ru-RU"/>
              </w:rPr>
              <w:t>☐</w:t>
            </w:r>
            <w:r w:rsidRPr="00987DA6">
              <w:rPr>
                <w:rFonts w:ascii="Times New Roman" w:eastAsia="Times New Roman" w:hAnsi="Times New Roman" w:cs="Times New Roman"/>
                <w:sz w:val="20"/>
                <w:szCs w:val="20"/>
                <w:lang w:eastAsia="ru-RU"/>
              </w:rPr>
              <w:t>НЕТ</w:t>
            </w:r>
          </w:p>
          <w:p w:rsidR="00655DC2" w:rsidRPr="00987DA6" w:rsidRDefault="00655DC2" w:rsidP="00995055">
            <w:pPr>
              <w:keepLines/>
              <w:ind w:left="366" w:hanging="1"/>
              <w:rPr>
                <w:rFonts w:ascii="Times New Roman" w:eastAsia="Times New Roman" w:hAnsi="Times New Roman" w:cs="Times New Roman"/>
                <w:sz w:val="20"/>
                <w:szCs w:val="20"/>
                <w:lang w:eastAsia="ru-RU"/>
              </w:rPr>
            </w:pPr>
          </w:p>
        </w:tc>
      </w:tr>
      <w:tr w:rsidR="00655DC2" w:rsidRPr="00987DA6" w:rsidTr="00995055">
        <w:trPr>
          <w:trHeight w:val="259"/>
        </w:trPr>
        <w:tc>
          <w:tcPr>
            <w:tcW w:w="10320" w:type="dxa"/>
            <w:gridSpan w:val="5"/>
            <w:shd w:val="clear" w:color="auto" w:fill="FFFFFF"/>
          </w:tcPr>
          <w:p w:rsidR="00655DC2" w:rsidRPr="00987DA6" w:rsidRDefault="00655DC2" w:rsidP="00995055">
            <w:pPr>
              <w:keepLines/>
              <w:ind w:hanging="1"/>
              <w:rPr>
                <w:rFonts w:ascii="Times New Roman" w:eastAsia="Times New Roman" w:hAnsi="Times New Roman" w:cs="Times New Roman"/>
                <w:i/>
                <w:sz w:val="18"/>
                <w:szCs w:val="18"/>
                <w:lang w:eastAsia="ru-RU"/>
              </w:rPr>
            </w:pPr>
            <w:r w:rsidRPr="00987DA6">
              <w:rPr>
                <w:rFonts w:ascii="Times New Roman" w:eastAsia="Times New Roman" w:hAnsi="Times New Roman" w:cs="Times New Roman"/>
                <w:i/>
                <w:sz w:val="18"/>
                <w:szCs w:val="18"/>
                <w:lang w:eastAsia="ru-RU"/>
              </w:rPr>
              <w:t>Вопрос 4 заполняется в случае, если в вопросе 3 указано «Нет».</w:t>
            </w:r>
          </w:p>
        </w:tc>
      </w:tr>
      <w:tr w:rsidR="00655DC2" w:rsidRPr="00987DA6" w:rsidTr="00995055">
        <w:trPr>
          <w:trHeight w:val="848"/>
        </w:trPr>
        <w:tc>
          <w:tcPr>
            <w:tcW w:w="539" w:type="dxa"/>
            <w:shd w:val="clear" w:color="auto" w:fill="FFFFFF"/>
          </w:tcPr>
          <w:p w:rsidR="00655DC2" w:rsidRPr="00987DA6" w:rsidRDefault="00655DC2" w:rsidP="00995055">
            <w:pPr>
              <w:keepLines/>
              <w:spacing w:line="288" w:lineRule="auto"/>
              <w:contextualSpacing/>
              <w:rPr>
                <w:rFonts w:ascii="Times New Roman" w:eastAsia="Times New Roman" w:hAnsi="Times New Roman" w:cs="Times New Roman"/>
                <w:sz w:val="20"/>
                <w:szCs w:val="20"/>
                <w:lang w:eastAsia="ru-RU"/>
              </w:rPr>
            </w:pPr>
            <w:r w:rsidRPr="00987DA6">
              <w:rPr>
                <w:rFonts w:ascii="Times New Roman" w:eastAsia="Times New Roman" w:hAnsi="Times New Roman" w:cs="Times New Roman"/>
                <w:sz w:val="20"/>
                <w:szCs w:val="20"/>
                <w:lang w:val="en-US" w:eastAsia="ru-RU"/>
              </w:rPr>
              <w:t>4</w:t>
            </w:r>
            <w:r w:rsidRPr="00987DA6">
              <w:rPr>
                <w:rFonts w:ascii="Times New Roman" w:eastAsia="Times New Roman" w:hAnsi="Times New Roman" w:cs="Times New Roman"/>
                <w:sz w:val="20"/>
                <w:szCs w:val="20"/>
                <w:lang w:eastAsia="ru-RU"/>
              </w:rPr>
              <w:t>4</w:t>
            </w:r>
          </w:p>
        </w:tc>
        <w:tc>
          <w:tcPr>
            <w:tcW w:w="4423" w:type="dxa"/>
            <w:gridSpan w:val="2"/>
            <w:shd w:val="clear" w:color="auto" w:fill="FFFFFF"/>
          </w:tcPr>
          <w:p w:rsidR="00655DC2" w:rsidRPr="00987DA6" w:rsidRDefault="00655DC2" w:rsidP="00995055">
            <w:pPr>
              <w:keepLines/>
              <w:ind w:hanging="1"/>
              <w:rPr>
                <w:rFonts w:ascii="Times New Roman" w:eastAsia="Times New Roman" w:hAnsi="Times New Roman" w:cs="Times New Roman"/>
                <w:sz w:val="20"/>
                <w:szCs w:val="20"/>
                <w:lang w:eastAsia="ru-RU"/>
              </w:rPr>
            </w:pPr>
            <w:r w:rsidRPr="00987DA6">
              <w:rPr>
                <w:rFonts w:ascii="Times New Roman" w:eastAsia="Times New Roman" w:hAnsi="Times New Roman"/>
                <w:sz w:val="20"/>
                <w:szCs w:val="20"/>
                <w:lang w:eastAsia="ru-RU"/>
              </w:rPr>
              <w:t>Юридическое лицо является организацией, осуществляющей активную деятельность для целей Главы 20.1 НК РФ</w:t>
            </w:r>
            <w:r w:rsidRPr="00987DA6">
              <w:rPr>
                <w:rFonts w:ascii="Times New Roman" w:eastAsia="Times New Roman" w:hAnsi="Times New Roman"/>
                <w:sz w:val="20"/>
                <w:szCs w:val="20"/>
                <w:vertAlign w:val="superscript"/>
                <w:lang w:eastAsia="ru-RU"/>
              </w:rPr>
              <w:footnoteReference w:id="4"/>
            </w:r>
            <w:r w:rsidRPr="00987DA6">
              <w:rPr>
                <w:rFonts w:ascii="Times New Roman" w:eastAsia="Times New Roman" w:hAnsi="Times New Roman"/>
                <w:sz w:val="20"/>
                <w:szCs w:val="20"/>
                <w:lang w:eastAsia="ru-RU"/>
              </w:rPr>
              <w:t>?</w:t>
            </w:r>
          </w:p>
        </w:tc>
        <w:tc>
          <w:tcPr>
            <w:tcW w:w="5358" w:type="dxa"/>
            <w:gridSpan w:val="2"/>
            <w:shd w:val="clear" w:color="auto" w:fill="FFFFFF"/>
          </w:tcPr>
          <w:p w:rsidR="00655DC2" w:rsidRPr="00987DA6" w:rsidRDefault="00655DC2" w:rsidP="00995055">
            <w:pPr>
              <w:keepLines/>
              <w:ind w:firstLine="0"/>
              <w:rPr>
                <w:rFonts w:ascii="Times New Roman" w:eastAsia="Times New Roman" w:hAnsi="Times New Roman"/>
                <w:sz w:val="20"/>
                <w:szCs w:val="20"/>
                <w:lang w:eastAsia="ru-RU"/>
              </w:rPr>
            </w:pPr>
            <w:r w:rsidRPr="00987DA6">
              <w:rPr>
                <w:rFonts w:ascii="MS Gothic" w:eastAsia="MS Gothic" w:hAnsi="MS Gothic"/>
                <w:sz w:val="20"/>
                <w:szCs w:val="20"/>
                <w:lang w:eastAsia="ru-RU"/>
              </w:rPr>
              <w:t xml:space="preserve">☐ </w:t>
            </w:r>
            <w:r w:rsidRPr="00987DA6">
              <w:rPr>
                <w:rFonts w:ascii="Times New Roman" w:eastAsia="Times New Roman" w:hAnsi="Times New Roman"/>
                <w:sz w:val="20"/>
                <w:szCs w:val="20"/>
                <w:lang w:eastAsia="ru-RU"/>
              </w:rPr>
              <w:t xml:space="preserve">ДА, юридическое лицо отвечает критериям организации, осуществляющей активную деятельность </w:t>
            </w:r>
          </w:p>
          <w:p w:rsidR="00655DC2" w:rsidRPr="00987DA6" w:rsidRDefault="00655DC2" w:rsidP="00995055">
            <w:pPr>
              <w:keepLines/>
              <w:ind w:firstLine="0"/>
              <w:rPr>
                <w:rFonts w:ascii="Times New Roman" w:eastAsia="Times New Roman" w:hAnsi="Times New Roman"/>
                <w:sz w:val="20"/>
                <w:szCs w:val="20"/>
                <w:lang w:eastAsia="ru-RU"/>
              </w:rPr>
            </w:pPr>
          </w:p>
          <w:p w:rsidR="00655DC2" w:rsidRPr="00987DA6" w:rsidRDefault="00655DC2" w:rsidP="00995055">
            <w:pPr>
              <w:keepLines/>
              <w:ind w:firstLine="0"/>
              <w:rPr>
                <w:rFonts w:ascii="Times New Roman" w:eastAsia="Times New Roman" w:hAnsi="Times New Roman" w:cs="Times New Roman"/>
                <w:sz w:val="20"/>
                <w:szCs w:val="20"/>
                <w:lang w:eastAsia="ru-RU"/>
              </w:rPr>
            </w:pPr>
            <w:r w:rsidRPr="00987DA6">
              <w:rPr>
                <w:rFonts w:ascii="MS Gothic" w:eastAsia="MS Gothic" w:hAnsi="MS Gothic"/>
                <w:sz w:val="20"/>
                <w:szCs w:val="20"/>
                <w:lang w:eastAsia="ru-RU"/>
              </w:rPr>
              <w:t xml:space="preserve">☐ </w:t>
            </w:r>
            <w:r w:rsidRPr="00987DA6">
              <w:rPr>
                <w:rFonts w:ascii="Times New Roman" w:eastAsia="Times New Roman" w:hAnsi="Times New Roman"/>
                <w:sz w:val="20"/>
                <w:szCs w:val="20"/>
                <w:lang w:eastAsia="ru-RU"/>
              </w:rPr>
              <w:t>НЕТ, в таком случае Юридическое лицо является Пассивной нефинансовой организацией</w:t>
            </w:r>
            <w:r w:rsidRPr="00987DA6">
              <w:rPr>
                <w:rFonts w:ascii="Times New Roman" w:eastAsia="Times New Roman" w:hAnsi="Times New Roman"/>
                <w:i/>
                <w:sz w:val="20"/>
                <w:szCs w:val="20"/>
                <w:lang w:eastAsia="ru-RU"/>
              </w:rPr>
              <w:t>.</w:t>
            </w:r>
          </w:p>
        </w:tc>
      </w:tr>
      <w:tr w:rsidR="00655DC2" w:rsidRPr="00987DA6" w:rsidTr="0099505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9"/>
        </w:trPr>
        <w:tc>
          <w:tcPr>
            <w:tcW w:w="10320" w:type="dxa"/>
            <w:gridSpan w:val="5"/>
            <w:tcBorders>
              <w:top w:val="single" w:sz="6" w:space="0" w:color="auto"/>
              <w:left w:val="single" w:sz="6" w:space="0" w:color="auto"/>
              <w:bottom w:val="single" w:sz="6" w:space="0" w:color="auto"/>
              <w:right w:val="single" w:sz="6" w:space="0" w:color="auto"/>
            </w:tcBorders>
          </w:tcPr>
          <w:p w:rsidR="00655DC2" w:rsidRPr="00987DA6" w:rsidRDefault="00655DC2" w:rsidP="00995055">
            <w:pPr>
              <w:keepLines/>
              <w:ind w:firstLine="0"/>
              <w:rPr>
                <w:rFonts w:ascii="Times New Roman" w:eastAsia="Times New Roman" w:hAnsi="Times New Roman" w:cs="Times New Roman"/>
                <w:color w:val="000000"/>
                <w:sz w:val="20"/>
                <w:szCs w:val="20"/>
                <w:lang w:eastAsia="ru-RU"/>
              </w:rPr>
            </w:pPr>
            <w:r w:rsidRPr="00987DA6">
              <w:rPr>
                <w:rFonts w:ascii="Times New Roman" w:eastAsia="Times New Roman" w:hAnsi="Times New Roman" w:cs="Times New Roman"/>
                <w:color w:val="000000"/>
                <w:sz w:val="20"/>
                <w:szCs w:val="20"/>
                <w:lang w:eastAsia="ru-RU"/>
              </w:rPr>
              <w:t>Подписывая настоящие Информационные сведения, Клиент заверяет и гарантирует Банку на дату подписания, что:</w:t>
            </w:r>
          </w:p>
          <w:p w:rsidR="00655DC2" w:rsidRPr="00987DA6" w:rsidRDefault="00655DC2" w:rsidP="00655DC2">
            <w:pPr>
              <w:keepLines/>
              <w:numPr>
                <w:ilvl w:val="0"/>
                <w:numId w:val="1"/>
              </w:numPr>
              <w:rPr>
                <w:rFonts w:ascii="Times New Roman" w:eastAsia="Times New Roman" w:hAnsi="Times New Roman" w:cs="Times New Roman"/>
                <w:color w:val="000000"/>
                <w:sz w:val="20"/>
                <w:szCs w:val="20"/>
                <w:lang w:eastAsia="ru-RU"/>
              </w:rPr>
            </w:pPr>
            <w:r w:rsidRPr="00987DA6">
              <w:rPr>
                <w:rFonts w:ascii="Times New Roman" w:eastAsia="Times New Roman" w:hAnsi="Times New Roman" w:cs="Times New Roman"/>
                <w:color w:val="000000"/>
                <w:sz w:val="20"/>
                <w:szCs w:val="20"/>
                <w:lang w:eastAsia="ru-RU"/>
              </w:rPr>
              <w:t>обязуется уведомить Банк об изменении любого факта или подтверждения в письменной форме в течение 7 календарных дней с даты их изменения;</w:t>
            </w:r>
          </w:p>
          <w:p w:rsidR="00655DC2" w:rsidRPr="00987DA6" w:rsidRDefault="00655DC2" w:rsidP="00655DC2">
            <w:pPr>
              <w:keepLines/>
              <w:numPr>
                <w:ilvl w:val="0"/>
                <w:numId w:val="1"/>
              </w:numPr>
              <w:rPr>
                <w:rFonts w:ascii="Times New Roman" w:eastAsia="@Meiryo UI" w:hAnsi="Times New Roman" w:cs="Times New Roman"/>
                <w:sz w:val="20"/>
                <w:szCs w:val="20"/>
                <w:lang w:eastAsia="ru-RU"/>
              </w:rPr>
            </w:pPr>
            <w:r w:rsidRPr="00987DA6">
              <w:rPr>
                <w:rFonts w:ascii="Times New Roman" w:eastAsia="Times New Roman" w:hAnsi="Times New Roman" w:cs="Times New Roman"/>
                <w:color w:val="000000"/>
                <w:sz w:val="20"/>
                <w:szCs w:val="20"/>
                <w:lang w:eastAsia="ru-RU"/>
              </w:rPr>
              <w:t>указанная  информация была проверена Клиентом, является точной, полной и достоверной, и Клиент подтверждает право Банка на ее проверку</w:t>
            </w:r>
          </w:p>
        </w:tc>
      </w:tr>
      <w:tr w:rsidR="00655DC2" w:rsidRPr="00987DA6" w:rsidTr="0099505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9"/>
        </w:trPr>
        <w:tc>
          <w:tcPr>
            <w:tcW w:w="2523"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655DC2" w:rsidRPr="00987DA6" w:rsidRDefault="00655DC2" w:rsidP="00995055">
            <w:pPr>
              <w:keepLines/>
              <w:spacing w:line="288" w:lineRule="auto"/>
              <w:jc w:val="center"/>
              <w:rPr>
                <w:rFonts w:ascii="Times New Roman" w:hAnsi="Times New Roman" w:cs="Times New Roman"/>
                <w:b/>
                <w:bCs/>
                <w:color w:val="000000"/>
                <w:sz w:val="20"/>
                <w:szCs w:val="20"/>
              </w:rPr>
            </w:pPr>
            <w:r w:rsidRPr="00987DA6">
              <w:rPr>
                <w:rFonts w:ascii="Times New Roman" w:hAnsi="Times New Roman" w:cs="Times New Roman"/>
                <w:b/>
                <w:bCs/>
                <w:color w:val="000000"/>
                <w:sz w:val="20"/>
                <w:szCs w:val="20"/>
              </w:rPr>
              <w:t>______________</w:t>
            </w:r>
            <w:r w:rsidRPr="00987DA6">
              <w:rPr>
                <w:rFonts w:ascii="Times New Roman" w:hAnsi="Times New Roman" w:cs="Times New Roman"/>
                <w:b/>
                <w:bCs/>
                <w:color w:val="000000"/>
                <w:sz w:val="20"/>
                <w:szCs w:val="20"/>
              </w:rPr>
              <w:br/>
              <w:t>дата</w:t>
            </w:r>
          </w:p>
        </w:tc>
        <w:tc>
          <w:tcPr>
            <w:tcW w:w="363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655DC2" w:rsidRPr="00987DA6" w:rsidRDefault="00655DC2" w:rsidP="00995055">
            <w:pPr>
              <w:keepLines/>
              <w:spacing w:line="288" w:lineRule="auto"/>
              <w:ind w:firstLine="0"/>
              <w:rPr>
                <w:rFonts w:ascii="Times New Roman" w:hAnsi="Times New Roman" w:cs="Times New Roman"/>
                <w:b/>
                <w:bCs/>
                <w:color w:val="000000"/>
                <w:sz w:val="20"/>
                <w:szCs w:val="20"/>
              </w:rPr>
            </w:pPr>
            <w:r w:rsidRPr="00987DA6">
              <w:rPr>
                <w:rFonts w:ascii="Times New Roman" w:hAnsi="Times New Roman" w:cs="Times New Roman"/>
                <w:b/>
                <w:bCs/>
                <w:color w:val="000000"/>
                <w:sz w:val="20"/>
                <w:szCs w:val="20"/>
              </w:rPr>
              <w:t>_______________________</w:t>
            </w:r>
          </w:p>
          <w:p w:rsidR="00655DC2" w:rsidRPr="00987DA6" w:rsidRDefault="00655DC2" w:rsidP="00995055">
            <w:pPr>
              <w:keepLines/>
              <w:spacing w:line="288" w:lineRule="auto"/>
              <w:jc w:val="center"/>
              <w:rPr>
                <w:rFonts w:ascii="Times New Roman" w:hAnsi="Times New Roman" w:cs="Times New Roman"/>
                <w:b/>
                <w:bCs/>
                <w:color w:val="000000"/>
                <w:sz w:val="20"/>
                <w:szCs w:val="20"/>
              </w:rPr>
            </w:pPr>
            <w:r w:rsidRPr="00987DA6">
              <w:rPr>
                <w:rFonts w:ascii="Times New Roman" w:hAnsi="Times New Roman" w:cs="Times New Roman"/>
                <w:b/>
                <w:bCs/>
                <w:color w:val="000000"/>
                <w:sz w:val="20"/>
                <w:szCs w:val="20"/>
              </w:rPr>
              <w:t>ФИО Руководителя организации/ Уполномоченного лица</w:t>
            </w:r>
          </w:p>
        </w:tc>
        <w:tc>
          <w:tcPr>
            <w:tcW w:w="415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655DC2" w:rsidRPr="00987DA6" w:rsidRDefault="00655DC2" w:rsidP="00995055">
            <w:pPr>
              <w:keepLines/>
              <w:spacing w:line="288" w:lineRule="auto"/>
              <w:jc w:val="center"/>
              <w:rPr>
                <w:rFonts w:ascii="Times New Roman" w:hAnsi="Times New Roman" w:cs="Times New Roman"/>
                <w:b/>
                <w:bCs/>
                <w:color w:val="000000"/>
                <w:sz w:val="20"/>
                <w:szCs w:val="20"/>
              </w:rPr>
            </w:pPr>
            <w:r w:rsidRPr="00987DA6">
              <w:rPr>
                <w:rFonts w:ascii="Times New Roman" w:hAnsi="Times New Roman" w:cs="Times New Roman"/>
                <w:b/>
                <w:bCs/>
                <w:color w:val="000000"/>
                <w:sz w:val="20"/>
                <w:szCs w:val="20"/>
              </w:rPr>
              <w:t>_____________________________</w:t>
            </w:r>
          </w:p>
          <w:p w:rsidR="00655DC2" w:rsidRPr="00987DA6" w:rsidRDefault="00655DC2" w:rsidP="00995055">
            <w:pPr>
              <w:keepLines/>
              <w:spacing w:line="288" w:lineRule="auto"/>
              <w:jc w:val="center"/>
              <w:rPr>
                <w:rFonts w:ascii="Times New Roman" w:hAnsi="Times New Roman" w:cs="Times New Roman"/>
                <w:b/>
                <w:bCs/>
                <w:color w:val="000000"/>
                <w:sz w:val="20"/>
                <w:szCs w:val="20"/>
              </w:rPr>
            </w:pPr>
            <w:r w:rsidRPr="00987DA6">
              <w:rPr>
                <w:rFonts w:ascii="Times New Roman" w:hAnsi="Times New Roman" w:cs="Times New Roman"/>
                <w:b/>
                <w:bCs/>
                <w:color w:val="000000"/>
                <w:sz w:val="20"/>
                <w:szCs w:val="20"/>
              </w:rPr>
              <w:t>подпись</w:t>
            </w:r>
          </w:p>
        </w:tc>
      </w:tr>
    </w:tbl>
    <w:p w:rsidR="00D95CFA" w:rsidRPr="00930A8B" w:rsidRDefault="00D95CFA" w:rsidP="003B083D">
      <w:pPr>
        <w:ind w:firstLine="0"/>
        <w:rPr>
          <w:rFonts w:ascii="Times New Roman" w:hAnsi="Times New Roman" w:cs="Times New Roman"/>
          <w:sz w:val="24"/>
        </w:rPr>
      </w:pPr>
      <w:bookmarkStart w:id="0" w:name="_GoBack"/>
      <w:bookmarkEnd w:id="0"/>
    </w:p>
    <w:sectPr w:rsidR="00D95CFA" w:rsidRPr="00930A8B" w:rsidSect="007A5AEF">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D51" w:rsidRDefault="00161D51" w:rsidP="00655DC2">
      <w:r>
        <w:separator/>
      </w:r>
    </w:p>
  </w:endnote>
  <w:endnote w:type="continuationSeparator" w:id="0">
    <w:p w:rsidR="00161D51" w:rsidRDefault="00161D51" w:rsidP="00655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eiryo UI">
    <w:altName w:val="@MS UI Gothic"/>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D51" w:rsidRDefault="00161D51" w:rsidP="00655DC2">
      <w:r>
        <w:separator/>
      </w:r>
    </w:p>
  </w:footnote>
  <w:footnote w:type="continuationSeparator" w:id="0">
    <w:p w:rsidR="00161D51" w:rsidRDefault="00161D51" w:rsidP="00655DC2">
      <w:r>
        <w:continuationSeparator/>
      </w:r>
    </w:p>
  </w:footnote>
  <w:footnote w:id="1">
    <w:p w:rsidR="00655DC2" w:rsidRPr="009353A0" w:rsidRDefault="00655DC2" w:rsidP="00655DC2">
      <w:pPr>
        <w:pStyle w:val="a4"/>
        <w:ind w:right="-567" w:firstLine="0"/>
        <w:rPr>
          <w:rFonts w:ascii="Times New Roman"/>
          <w:sz w:val="16"/>
          <w:szCs w:val="16"/>
        </w:rPr>
      </w:pPr>
      <w:r w:rsidRPr="009353A0">
        <w:rPr>
          <w:rFonts w:ascii="Times New Roman"/>
          <w:sz w:val="16"/>
          <w:szCs w:val="16"/>
          <w:vertAlign w:val="superscript"/>
        </w:rPr>
        <w:footnoteRef/>
      </w:r>
      <w:r w:rsidRPr="009353A0">
        <w:rPr>
          <w:rFonts w:ascii="Times New Roman"/>
          <w:sz w:val="16"/>
          <w:szCs w:val="16"/>
        </w:rPr>
        <w:t xml:space="preserve"> CRS (</w:t>
      </w:r>
      <w:proofErr w:type="spellStart"/>
      <w:r w:rsidRPr="009353A0">
        <w:rPr>
          <w:rFonts w:ascii="Times New Roman"/>
          <w:sz w:val="16"/>
          <w:szCs w:val="16"/>
        </w:rPr>
        <w:t>Common</w:t>
      </w:r>
      <w:proofErr w:type="spellEnd"/>
      <w:r w:rsidRPr="009353A0">
        <w:rPr>
          <w:rFonts w:ascii="Times New Roman"/>
          <w:sz w:val="16"/>
          <w:szCs w:val="16"/>
        </w:rPr>
        <w:t xml:space="preserve"> </w:t>
      </w:r>
      <w:proofErr w:type="spellStart"/>
      <w:r w:rsidRPr="009353A0">
        <w:rPr>
          <w:rFonts w:ascii="Times New Roman"/>
          <w:sz w:val="16"/>
          <w:szCs w:val="16"/>
        </w:rPr>
        <w:t>Reporting</w:t>
      </w:r>
      <w:proofErr w:type="spellEnd"/>
      <w:r w:rsidRPr="009353A0">
        <w:rPr>
          <w:rFonts w:ascii="Times New Roman"/>
          <w:sz w:val="16"/>
          <w:szCs w:val="16"/>
        </w:rPr>
        <w:t xml:space="preserve"> </w:t>
      </w:r>
      <w:proofErr w:type="spellStart"/>
      <w:r w:rsidRPr="009353A0">
        <w:rPr>
          <w:rFonts w:ascii="Times New Roman"/>
          <w:sz w:val="16"/>
          <w:szCs w:val="16"/>
        </w:rPr>
        <w:t>Standard</w:t>
      </w:r>
      <w:proofErr w:type="spellEnd"/>
      <w:r w:rsidRPr="009353A0">
        <w:rPr>
          <w:rFonts w:ascii="Times New Roman"/>
          <w:sz w:val="16"/>
          <w:szCs w:val="16"/>
        </w:rPr>
        <w:t>) - Стандарт по автоматическому обмену информацией, разработанный ОЭСР (Организацией экономического сотрудничества и развития).</w:t>
      </w:r>
    </w:p>
  </w:footnote>
  <w:footnote w:id="2">
    <w:p w:rsidR="00655DC2" w:rsidRPr="009353A0" w:rsidRDefault="00655DC2" w:rsidP="00655DC2">
      <w:pPr>
        <w:pStyle w:val="a4"/>
        <w:ind w:right="-567" w:firstLine="0"/>
        <w:rPr>
          <w:rFonts w:ascii="Times New Roman"/>
          <w:sz w:val="16"/>
          <w:szCs w:val="16"/>
        </w:rPr>
      </w:pPr>
      <w:r w:rsidRPr="009353A0">
        <w:rPr>
          <w:rStyle w:val="a5"/>
          <w:sz w:val="16"/>
          <w:szCs w:val="16"/>
        </w:rPr>
        <w:footnoteRef/>
      </w:r>
      <w:r w:rsidRPr="009353A0">
        <w:rPr>
          <w:rFonts w:ascii="Times New Roman"/>
          <w:sz w:val="16"/>
          <w:szCs w:val="16"/>
        </w:rPr>
        <w:t xml:space="preserve"> </w:t>
      </w:r>
      <w:r w:rsidRPr="009353A0">
        <w:rPr>
          <w:rFonts w:ascii="Times New Roman"/>
          <w:bCs/>
          <w:color w:val="000000"/>
          <w:sz w:val="16"/>
          <w:szCs w:val="16"/>
        </w:rPr>
        <w:t>(1) Центральный банк Российской Федерации (Банк России); (2) Пенсионный фонд Российской Федерации; (3) Фонд обязательного медицинского страхования; (4) Фонд социального страхования Российской Федерации; (5) Международная финансовая корпорация; (6) Международный банк реконструкции и развития; (7) Евразийский банк развития; (8) Международная ассоциация развития; (9) Европейский банк реконструкции и развития; (10) Межгосударственный банк; (11) Международный инвестиционный банк; (12) Международный банк экономического сотрудничества; (13) Многостороннее агентство по гарантиям инвестиций; (14) Черноморский банк торговли и развития; (15) Европейский инвестиционный банк; (16) Северный инвестиционный банк; (17) Международный валютный фонд.</w:t>
      </w:r>
    </w:p>
  </w:footnote>
  <w:footnote w:id="3">
    <w:p w:rsidR="00655DC2" w:rsidRPr="009353A0" w:rsidRDefault="00655DC2" w:rsidP="00655DC2">
      <w:pPr>
        <w:pStyle w:val="a4"/>
        <w:ind w:right="-567" w:firstLine="0"/>
        <w:rPr>
          <w:rFonts w:ascii="Times New Roman"/>
          <w:sz w:val="16"/>
          <w:szCs w:val="16"/>
        </w:rPr>
      </w:pPr>
      <w:r w:rsidRPr="009353A0">
        <w:rPr>
          <w:rFonts w:ascii="Times New Roman"/>
          <w:sz w:val="16"/>
          <w:szCs w:val="16"/>
          <w:vertAlign w:val="superscript"/>
        </w:rPr>
        <w:footnoteRef/>
      </w:r>
      <w:r w:rsidRPr="009353A0">
        <w:rPr>
          <w:rFonts w:ascii="Times New Roman"/>
          <w:sz w:val="16"/>
          <w:szCs w:val="16"/>
          <w:vertAlign w:val="superscript"/>
        </w:rPr>
        <w:t xml:space="preserve">  </w:t>
      </w:r>
      <w:r w:rsidRPr="009353A0">
        <w:rPr>
          <w:rFonts w:ascii="Times New Roman"/>
          <w:sz w:val="16"/>
          <w:szCs w:val="16"/>
        </w:rPr>
        <w:t xml:space="preserve">При ответе на данный вопрос изучите указанное в Глоссарии для целей Главы 20.1 НК РФ определение «Организация финансового рынка» </w:t>
      </w:r>
    </w:p>
  </w:footnote>
  <w:footnote w:id="4">
    <w:p w:rsidR="00655DC2" w:rsidRPr="009353A0" w:rsidRDefault="00655DC2" w:rsidP="00655DC2">
      <w:pPr>
        <w:keepNext/>
        <w:keepLines/>
        <w:widowControl w:val="0"/>
        <w:suppressAutoHyphens/>
        <w:ind w:right="-567" w:firstLine="0"/>
        <w:rPr>
          <w:rFonts w:ascii="Times New Roman" w:eastAsia="@Meiryo UI" w:hAnsi="Times New Roman" w:cs="Times New Roman"/>
          <w:sz w:val="16"/>
          <w:szCs w:val="16"/>
        </w:rPr>
      </w:pPr>
      <w:r w:rsidRPr="009353A0">
        <w:rPr>
          <w:rFonts w:ascii="Times New Roman" w:eastAsia="@Meiryo UI" w:hAnsi="Times New Roman" w:cs="Times New Roman"/>
          <w:sz w:val="16"/>
          <w:szCs w:val="16"/>
          <w:vertAlign w:val="superscript"/>
        </w:rPr>
        <w:footnoteRef/>
      </w:r>
      <w:r w:rsidRPr="009353A0">
        <w:rPr>
          <w:rFonts w:ascii="Times New Roman" w:eastAsia="@Meiryo UI" w:hAnsi="Times New Roman" w:cs="Times New Roman"/>
          <w:sz w:val="16"/>
          <w:szCs w:val="16"/>
          <w:vertAlign w:val="superscript"/>
        </w:rPr>
        <w:t xml:space="preserve"> </w:t>
      </w:r>
      <w:r w:rsidRPr="009353A0">
        <w:rPr>
          <w:rFonts w:ascii="Times New Roman" w:eastAsia="@Meiryo UI" w:hAnsi="Times New Roman" w:cs="Times New Roman"/>
          <w:sz w:val="16"/>
          <w:szCs w:val="16"/>
        </w:rPr>
        <w:t xml:space="preserve">При ответе на данный вопрос изучите указанное </w:t>
      </w:r>
      <w:r w:rsidRPr="009353A0">
        <w:rPr>
          <w:rFonts w:ascii="Times New Roman" w:hAnsi="Times New Roman" w:cs="Times New Roman"/>
          <w:sz w:val="16"/>
          <w:szCs w:val="16"/>
        </w:rPr>
        <w:t xml:space="preserve">в Глоссарии для целей Главы 20.1 НК РФ </w:t>
      </w:r>
      <w:r w:rsidRPr="009353A0">
        <w:rPr>
          <w:rFonts w:ascii="Times New Roman" w:eastAsia="@Meiryo UI" w:hAnsi="Times New Roman" w:cs="Times New Roman"/>
          <w:sz w:val="16"/>
          <w:szCs w:val="16"/>
        </w:rPr>
        <w:t>определение «Организация, осуществляющая активную деятельность», «Пассивная нефинансовая организация», «Доходы от пассивной деятельности».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B2214"/>
    <w:multiLevelType w:val="hybridMultilevel"/>
    <w:tmpl w:val="3E0E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AD6"/>
    <w:rsid w:val="00043877"/>
    <w:rsid w:val="00161D51"/>
    <w:rsid w:val="003B083D"/>
    <w:rsid w:val="00655DC2"/>
    <w:rsid w:val="00930A8B"/>
    <w:rsid w:val="00C631C3"/>
    <w:rsid w:val="00C97AD6"/>
    <w:rsid w:val="00D9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BACA8"/>
  <w15:chartTrackingRefBased/>
  <w15:docId w15:val="{AB5C087E-33D6-4571-A4CA-3121D1589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DC2"/>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4"/>
    <w:uiPriority w:val="99"/>
    <w:qFormat/>
    <w:locked/>
    <w:rsid w:val="00655DC2"/>
    <w:rPr>
      <w:rFonts w:ascii="@Meiryo UI" w:eastAsia="@Meiryo UI" w:hAnsi="Times New Roman" w:cs="Times New Roman"/>
      <w:sz w:val="20"/>
      <w:szCs w:val="20"/>
    </w:rPr>
  </w:style>
  <w:style w:type="paragraph" w:styleId="a4">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3"/>
    <w:uiPriority w:val="99"/>
    <w:unhideWhenUsed/>
    <w:qFormat/>
    <w:rsid w:val="00655DC2"/>
    <w:rPr>
      <w:rFonts w:ascii="@Meiryo UI" w:eastAsia="@Meiryo UI" w:hAnsi="Times New Roman" w:cs="Times New Roman"/>
      <w:sz w:val="20"/>
      <w:szCs w:val="20"/>
    </w:rPr>
  </w:style>
  <w:style w:type="character" w:customStyle="1" w:styleId="1">
    <w:name w:val="Текст сноски Знак1"/>
    <w:basedOn w:val="a0"/>
    <w:uiPriority w:val="99"/>
    <w:semiHidden/>
    <w:rsid w:val="00655DC2"/>
    <w:rPr>
      <w:sz w:val="20"/>
      <w:szCs w:val="20"/>
    </w:rPr>
  </w:style>
  <w:style w:type="character" w:styleId="a5">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unhideWhenUsed/>
    <w:qFormat/>
    <w:rsid w:val="00655DC2"/>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2036</Characters>
  <Application>Microsoft Office Word</Application>
  <DocSecurity>0</DocSecurity>
  <Lines>16</Lines>
  <Paragraphs>4</Paragraphs>
  <ScaleCrop>false</ScaleCrop>
  <Company>ПАО Сбербанк России</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 Елизавета Сергеевна</dc:creator>
  <cp:keywords/>
  <dc:description/>
  <cp:lastModifiedBy>Дерябина Елизавета Сергеевна</cp:lastModifiedBy>
  <cp:revision>3</cp:revision>
  <dcterms:created xsi:type="dcterms:W3CDTF">2024-12-23T14:44:00Z</dcterms:created>
  <dcterms:modified xsi:type="dcterms:W3CDTF">2024-12-23T14:44:00Z</dcterms:modified>
</cp:coreProperties>
</file>