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94" w:rsidRDefault="00BD4394" w:rsidP="00BD4394">
      <w:pPr>
        <w:jc w:val="center"/>
        <w:outlineLvl w:val="0"/>
        <w:rPr>
          <w:b/>
        </w:rPr>
      </w:pPr>
      <w:r>
        <w:rPr>
          <w:b/>
        </w:rPr>
        <w:t>Правила Акции</w:t>
      </w:r>
    </w:p>
    <w:p w:rsidR="00BD4394" w:rsidRDefault="00BD4394" w:rsidP="00BD4394">
      <w:pPr>
        <w:jc w:val="center"/>
        <w:outlineLvl w:val="0"/>
        <w:rPr>
          <w:b/>
          <w:color w:val="000000"/>
        </w:rPr>
      </w:pPr>
    </w:p>
    <w:p w:rsidR="00BD4394" w:rsidRDefault="00BD4394" w:rsidP="00BD4394">
      <w:pPr>
        <w:spacing w:after="60"/>
        <w:ind w:left="-5"/>
        <w:jc w:val="both"/>
      </w:pPr>
      <w:r w:rsidRPr="000E2491">
        <w:t xml:space="preserve">Принимая участие в Акции (далее – «Акция»), Участники полностью соглашаются с настоящими правилами (далее - «Правила»).  </w:t>
      </w:r>
    </w:p>
    <w:p w:rsidR="00BD4394" w:rsidRPr="000E2491" w:rsidRDefault="00BD4394" w:rsidP="00BD4394">
      <w:pPr>
        <w:pStyle w:val="a7"/>
        <w:numPr>
          <w:ilvl w:val="0"/>
          <w:numId w:val="2"/>
        </w:numPr>
        <w:spacing w:after="52" w:line="259" w:lineRule="auto"/>
        <w:ind w:right="5"/>
        <w:jc w:val="both"/>
      </w:pPr>
      <w:r w:rsidRPr="00E9330C">
        <w:rPr>
          <w:b/>
        </w:rPr>
        <w:t>Общие положения проведения Акции.</w:t>
      </w:r>
    </w:p>
    <w:p w:rsidR="00BD4394" w:rsidRPr="000E2491" w:rsidRDefault="00BD4394" w:rsidP="00BD4394">
      <w:pPr>
        <w:pStyle w:val="a7"/>
        <w:numPr>
          <w:ilvl w:val="0"/>
          <w:numId w:val="1"/>
        </w:numPr>
        <w:spacing w:after="49"/>
        <w:jc w:val="both"/>
      </w:pPr>
      <w:r w:rsidRPr="000E2491">
        <w:t>Акция не является стимулиру</w:t>
      </w:r>
      <w:r>
        <w:t xml:space="preserve">ющей лотереей, участие в ней </w:t>
      </w:r>
      <w:r w:rsidRPr="000E2491">
        <w:t xml:space="preserve">не основано на риске и случайном выигрыше. </w:t>
      </w:r>
    </w:p>
    <w:p w:rsidR="00BD4394" w:rsidRDefault="00BD4394" w:rsidP="00BD4394">
      <w:pPr>
        <w:pStyle w:val="a7"/>
        <w:numPr>
          <w:ilvl w:val="0"/>
          <w:numId w:val="1"/>
        </w:numPr>
        <w:spacing w:after="52"/>
        <w:jc w:val="both"/>
      </w:pPr>
      <w:r w:rsidRPr="000E2491">
        <w:t>Участие в Акции не является обязательным.</w:t>
      </w:r>
    </w:p>
    <w:p w:rsidR="00BD4394" w:rsidRDefault="00BD4394" w:rsidP="00BD4394">
      <w:pPr>
        <w:pStyle w:val="a7"/>
        <w:numPr>
          <w:ilvl w:val="0"/>
          <w:numId w:val="1"/>
        </w:numPr>
        <w:spacing w:after="52"/>
        <w:jc w:val="both"/>
      </w:pPr>
      <w:r w:rsidRPr="000E2491">
        <w:t>Территория проведения Акции –</w:t>
      </w:r>
      <w:r>
        <w:t xml:space="preserve"> офисы Сбербанка г. Тольятти </w:t>
      </w:r>
      <w:r w:rsidR="000F092D">
        <w:t>(Приложение 1)</w:t>
      </w:r>
    </w:p>
    <w:p w:rsidR="00BD4394" w:rsidRPr="00100463" w:rsidRDefault="00BD4394" w:rsidP="00BD4394">
      <w:pPr>
        <w:pStyle w:val="a7"/>
        <w:numPr>
          <w:ilvl w:val="0"/>
          <w:numId w:val="1"/>
        </w:numPr>
        <w:spacing w:after="52"/>
        <w:jc w:val="both"/>
        <w:rPr>
          <w:b/>
        </w:rPr>
      </w:pPr>
      <w:r w:rsidRPr="000E2491">
        <w:t>Организатором Акции является</w:t>
      </w:r>
      <w:r>
        <w:t xml:space="preserve">: </w:t>
      </w:r>
      <w:r w:rsidRPr="000E2491">
        <w:t>ПАО Сбербанк, ОГРН: 1027700132195, Юридический адрес: 117997, г. Москва ул. Вавилова, 19</w:t>
      </w:r>
    </w:p>
    <w:p w:rsidR="00BD4394" w:rsidRPr="00E9330C" w:rsidRDefault="00BD4394" w:rsidP="00BD4394">
      <w:pPr>
        <w:pStyle w:val="a7"/>
        <w:numPr>
          <w:ilvl w:val="0"/>
          <w:numId w:val="2"/>
        </w:numPr>
        <w:spacing w:after="52"/>
        <w:jc w:val="both"/>
      </w:pPr>
      <w:r w:rsidRPr="00E9330C">
        <w:rPr>
          <w:b/>
        </w:rPr>
        <w:t>Сроки получения подарков Участниками Акции:</w:t>
      </w:r>
    </w:p>
    <w:p w:rsidR="00BD4394" w:rsidRDefault="00524F70" w:rsidP="00BD4394">
      <w:pPr>
        <w:pStyle w:val="a7"/>
        <w:numPr>
          <w:ilvl w:val="1"/>
          <w:numId w:val="2"/>
        </w:numPr>
        <w:spacing w:after="52" w:line="259" w:lineRule="auto"/>
        <w:ind w:right="5"/>
        <w:jc w:val="both"/>
      </w:pPr>
      <w:r>
        <w:t>Общий срок проведения акции c «</w:t>
      </w:r>
      <w:r w:rsidR="00BD4394">
        <w:t>1</w:t>
      </w:r>
      <w:r w:rsidR="00BD4394" w:rsidRPr="00E9330C">
        <w:t xml:space="preserve">» </w:t>
      </w:r>
      <w:r>
        <w:t>февраля</w:t>
      </w:r>
      <w:r w:rsidR="00BD4394" w:rsidRPr="00E9330C">
        <w:t xml:space="preserve"> </w:t>
      </w:r>
      <w:r>
        <w:t>2021</w:t>
      </w:r>
      <w:r w:rsidR="00BD4394" w:rsidRPr="00E9330C">
        <w:t xml:space="preserve"> г. по «</w:t>
      </w:r>
      <w:r>
        <w:t>3</w:t>
      </w:r>
      <w:r w:rsidR="00BD4394">
        <w:t>1</w:t>
      </w:r>
      <w:r w:rsidR="00BD4394" w:rsidRPr="00E9330C">
        <w:t>»</w:t>
      </w:r>
      <w:r w:rsidR="00BD4394">
        <w:t xml:space="preserve"> </w:t>
      </w:r>
      <w:r>
        <w:t>марта</w:t>
      </w:r>
      <w:r w:rsidR="00BD4394" w:rsidRPr="00E9330C">
        <w:t xml:space="preserve"> 202</w:t>
      </w:r>
      <w:r w:rsidR="00BD4394">
        <w:t>1</w:t>
      </w:r>
      <w:r w:rsidR="00BD4394" w:rsidRPr="00E9330C">
        <w:t xml:space="preserve"> г., включительно или до исчерпания призового фонда Акции (в зависимости от того, какое событие наступит ранее). </w:t>
      </w:r>
    </w:p>
    <w:p w:rsidR="00BD4394" w:rsidRPr="00E9330C" w:rsidRDefault="00BD4394" w:rsidP="00BD4394">
      <w:pPr>
        <w:pStyle w:val="a7"/>
        <w:numPr>
          <w:ilvl w:val="0"/>
          <w:numId w:val="2"/>
        </w:numPr>
        <w:spacing w:after="46"/>
        <w:jc w:val="both"/>
      </w:pPr>
      <w:r w:rsidRPr="00E9330C">
        <w:rPr>
          <w:b/>
        </w:rPr>
        <w:t>Условия участия в Акции и порядок получения Подарков Участником Акции.</w:t>
      </w:r>
    </w:p>
    <w:p w:rsidR="00BD4394" w:rsidRPr="000E2491" w:rsidRDefault="00BD4394" w:rsidP="00BD4394">
      <w:pPr>
        <w:pStyle w:val="a7"/>
        <w:numPr>
          <w:ilvl w:val="1"/>
          <w:numId w:val="2"/>
        </w:numPr>
        <w:spacing w:after="46"/>
        <w:jc w:val="both"/>
      </w:pPr>
      <w:r w:rsidRPr="000E2491">
        <w:t xml:space="preserve">Участниками Акции могут быть дееспособные физические лица, достигшие 18 лет, являющиеся гражданами Российской Федерации (далее – «Участник»). </w:t>
      </w:r>
    </w:p>
    <w:p w:rsidR="00BD4394" w:rsidRDefault="00BD4394" w:rsidP="00BD4394">
      <w:pPr>
        <w:pStyle w:val="a7"/>
        <w:numPr>
          <w:ilvl w:val="1"/>
          <w:numId w:val="2"/>
        </w:numPr>
        <w:spacing w:after="46"/>
        <w:jc w:val="both"/>
      </w:pPr>
      <w:r w:rsidRPr="000E2491">
        <w:t xml:space="preserve">Для участия в Акции, Участнику необходимо выполнить следующие действия: </w:t>
      </w:r>
    </w:p>
    <w:p w:rsidR="00BD4394" w:rsidRDefault="00BD4394" w:rsidP="00BD4394">
      <w:pPr>
        <w:pStyle w:val="a7"/>
        <w:numPr>
          <w:ilvl w:val="2"/>
          <w:numId w:val="2"/>
        </w:numPr>
        <w:spacing w:after="46"/>
        <w:jc w:val="both"/>
      </w:pPr>
      <w:r w:rsidRPr="00844F79">
        <w:t>в</w:t>
      </w:r>
      <w:r>
        <w:t xml:space="preserve"> </w:t>
      </w:r>
      <w:r w:rsidRPr="00844F79">
        <w:t>период, указанный в п.</w:t>
      </w:r>
      <w:r>
        <w:t xml:space="preserve"> 2.1</w:t>
      </w:r>
      <w:r w:rsidRPr="00844F79">
        <w:t xml:space="preserve"> Правил Акции, посетить</w:t>
      </w:r>
      <w:r>
        <w:t xml:space="preserve"> любой</w:t>
      </w:r>
      <w:r w:rsidRPr="00844F79">
        <w:t xml:space="preserve"> </w:t>
      </w:r>
      <w:r>
        <w:t>офис Сбербанка из адресной программы, указанной в Приложении 1</w:t>
      </w:r>
    </w:p>
    <w:p w:rsidR="00BD4394" w:rsidRDefault="00BD4394" w:rsidP="00BD4394">
      <w:pPr>
        <w:pStyle w:val="a7"/>
        <w:numPr>
          <w:ilvl w:val="2"/>
          <w:numId w:val="2"/>
        </w:numPr>
        <w:spacing w:after="46"/>
        <w:jc w:val="both"/>
      </w:pPr>
      <w:r>
        <w:t>оформить один из продуктов</w:t>
      </w:r>
      <w:r w:rsidR="00140CE2">
        <w:t xml:space="preserve"> или воспользоваться услугами Сбера</w:t>
      </w:r>
      <w:r>
        <w:t xml:space="preserve">: </w:t>
      </w:r>
    </w:p>
    <w:p w:rsidR="00140CE2" w:rsidRDefault="00140CE2" w:rsidP="00140CE2">
      <w:pPr>
        <w:spacing w:after="46"/>
        <w:jc w:val="both"/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769"/>
        <w:gridCol w:w="2345"/>
        <w:gridCol w:w="6237"/>
      </w:tblGrid>
      <w:tr w:rsidR="005B2A98" w:rsidTr="005B2A98">
        <w:tc>
          <w:tcPr>
            <w:tcW w:w="769" w:type="dxa"/>
          </w:tcPr>
          <w:p w:rsidR="005B2A98" w:rsidRPr="00140CE2" w:rsidRDefault="005B2A98" w:rsidP="00140CE2">
            <w:pPr>
              <w:spacing w:after="46"/>
              <w:jc w:val="both"/>
            </w:pPr>
            <w:r>
              <w:t>№п/п</w:t>
            </w:r>
          </w:p>
        </w:tc>
        <w:tc>
          <w:tcPr>
            <w:tcW w:w="2345" w:type="dxa"/>
          </w:tcPr>
          <w:p w:rsidR="005B2A98" w:rsidRDefault="005B2A98" w:rsidP="00140CE2">
            <w:pPr>
              <w:spacing w:after="46"/>
              <w:jc w:val="both"/>
            </w:pPr>
            <w:r>
              <w:t>Категория продукта</w:t>
            </w:r>
          </w:p>
        </w:tc>
        <w:tc>
          <w:tcPr>
            <w:tcW w:w="6237" w:type="dxa"/>
          </w:tcPr>
          <w:p w:rsidR="005B2A98" w:rsidRDefault="005B2A98" w:rsidP="00140CE2">
            <w:pPr>
              <w:spacing w:after="46"/>
              <w:jc w:val="both"/>
            </w:pPr>
            <w:r>
              <w:t>Название продукта</w:t>
            </w:r>
          </w:p>
        </w:tc>
      </w:tr>
      <w:tr w:rsidR="005B2A98" w:rsidTr="005B2A98">
        <w:tc>
          <w:tcPr>
            <w:tcW w:w="769" w:type="dxa"/>
          </w:tcPr>
          <w:p w:rsidR="005B2A98" w:rsidRDefault="005B2A98" w:rsidP="00140CE2">
            <w:pPr>
              <w:spacing w:after="46"/>
              <w:jc w:val="both"/>
            </w:pPr>
            <w:r>
              <w:t>1</w:t>
            </w:r>
          </w:p>
        </w:tc>
        <w:tc>
          <w:tcPr>
            <w:tcW w:w="2345" w:type="dxa"/>
          </w:tcPr>
          <w:p w:rsidR="005B2A98" w:rsidRDefault="005B2A98" w:rsidP="00140CE2">
            <w:pPr>
              <w:spacing w:after="46"/>
              <w:jc w:val="both"/>
            </w:pPr>
            <w:r>
              <w:t>Дебетовая карта</w:t>
            </w:r>
          </w:p>
        </w:tc>
        <w:tc>
          <w:tcPr>
            <w:tcW w:w="6237" w:type="dxa"/>
          </w:tcPr>
          <w:p w:rsidR="005B2A98" w:rsidRPr="0013518F" w:rsidRDefault="005B2A98" w:rsidP="00140CE2">
            <w:pPr>
              <w:jc w:val="both"/>
            </w:pPr>
            <w:r w:rsidRPr="00E9583D">
              <w:rPr>
                <w:lang w:val="en-US"/>
              </w:rPr>
              <w:t>Visa</w:t>
            </w:r>
            <w:r w:rsidRPr="00E9583D">
              <w:t xml:space="preserve"> </w:t>
            </w:r>
            <w:r w:rsidRPr="00E9583D">
              <w:rPr>
                <w:lang w:val="en-US"/>
              </w:rPr>
              <w:t>Classic</w:t>
            </w:r>
            <w:r>
              <w:t xml:space="preserve">, </w:t>
            </w:r>
            <w:r w:rsidRPr="00CB02EC">
              <w:rPr>
                <w:lang w:val="en-US"/>
              </w:rPr>
              <w:t>Visa</w:t>
            </w:r>
            <w:r w:rsidRPr="00CB02EC">
              <w:t xml:space="preserve"> </w:t>
            </w:r>
            <w:r w:rsidRPr="00CB02EC">
              <w:rPr>
                <w:lang w:val="en-US"/>
              </w:rPr>
              <w:t>Classic</w:t>
            </w:r>
            <w:r>
              <w:t xml:space="preserve"> «Золотая маска», </w:t>
            </w:r>
            <w:r w:rsidRPr="00291392">
              <w:rPr>
                <w:lang w:val="en-US"/>
              </w:rPr>
              <w:t>Visa</w:t>
            </w:r>
            <w:r w:rsidRPr="00291392">
              <w:t xml:space="preserve"> </w:t>
            </w:r>
            <w:r w:rsidRPr="00291392">
              <w:rPr>
                <w:lang w:val="en-US"/>
              </w:rPr>
              <w:t>Classic</w:t>
            </w:r>
            <w:r w:rsidRPr="00291392">
              <w:t xml:space="preserve"> «Подари жизнь»</w:t>
            </w:r>
            <w:r>
              <w:t xml:space="preserve">, </w:t>
            </w:r>
            <w:r w:rsidRPr="0088476B">
              <w:rPr>
                <w:lang w:val="en-US"/>
              </w:rPr>
              <w:t>Visa</w:t>
            </w:r>
            <w:r w:rsidRPr="0013518F">
              <w:t xml:space="preserve"> </w:t>
            </w:r>
            <w:r w:rsidRPr="0088476B">
              <w:rPr>
                <w:lang w:val="en-US"/>
              </w:rPr>
              <w:t>Classic</w:t>
            </w:r>
            <w:r w:rsidRPr="0013518F">
              <w:t xml:space="preserve"> «</w:t>
            </w:r>
            <w:r w:rsidRPr="0088476B">
              <w:t>Молодежная</w:t>
            </w:r>
            <w:r w:rsidRPr="0013518F">
              <w:t>»</w:t>
            </w:r>
            <w:r>
              <w:t xml:space="preserve">, </w:t>
            </w:r>
            <w:r w:rsidRPr="00D13202">
              <w:rPr>
                <w:lang w:val="en-US"/>
              </w:rPr>
              <w:t>Visa</w:t>
            </w:r>
            <w:r w:rsidRPr="0013518F">
              <w:t xml:space="preserve"> </w:t>
            </w:r>
            <w:r>
              <w:rPr>
                <w:lang w:val="en-US"/>
              </w:rPr>
              <w:t>Classic</w:t>
            </w:r>
            <w:r w:rsidRPr="0013518F">
              <w:t xml:space="preserve"> «</w:t>
            </w:r>
            <w:r w:rsidRPr="00D13202">
              <w:rPr>
                <w:lang w:val="en-US"/>
              </w:rPr>
              <w:t>Momentum</w:t>
            </w:r>
            <w:r>
              <w:t xml:space="preserve">», </w:t>
            </w:r>
            <w:r w:rsidRPr="00B013C4">
              <w:rPr>
                <w:lang w:val="en-US"/>
              </w:rPr>
              <w:t>MasterCard</w:t>
            </w:r>
            <w:r w:rsidRPr="0013518F">
              <w:t xml:space="preserve"> </w:t>
            </w:r>
            <w:r w:rsidRPr="00B013C4">
              <w:rPr>
                <w:lang w:val="en-US"/>
              </w:rPr>
              <w:t>Standard</w:t>
            </w:r>
            <w:r>
              <w:t xml:space="preserve">, </w:t>
            </w:r>
            <w:r w:rsidRPr="00D043A4">
              <w:rPr>
                <w:lang w:val="en-US"/>
              </w:rPr>
              <w:t>MasterCard</w:t>
            </w:r>
            <w:r w:rsidRPr="0013518F">
              <w:t xml:space="preserve"> </w:t>
            </w:r>
            <w:r w:rsidRPr="00D043A4">
              <w:rPr>
                <w:lang w:val="en-US"/>
              </w:rPr>
              <w:t>Standard</w:t>
            </w:r>
            <w:r w:rsidRPr="0013518F">
              <w:t xml:space="preserve"> «</w:t>
            </w:r>
            <w:r w:rsidRPr="00D043A4">
              <w:t>Молодежная</w:t>
            </w:r>
            <w:r w:rsidRPr="0013518F">
              <w:t>»</w:t>
            </w:r>
            <w:r>
              <w:t xml:space="preserve">, </w:t>
            </w:r>
            <w:r w:rsidRPr="00BA5ECD">
              <w:rPr>
                <w:lang w:val="en-US"/>
              </w:rPr>
              <w:t>MasterCard</w:t>
            </w:r>
            <w:r w:rsidRPr="0013518F">
              <w:t xml:space="preserve"> </w:t>
            </w:r>
            <w:r>
              <w:rPr>
                <w:lang w:val="en-US"/>
              </w:rPr>
              <w:t>Standard</w:t>
            </w:r>
            <w:r w:rsidRPr="0013518F">
              <w:t xml:space="preserve"> «</w:t>
            </w:r>
            <w:r w:rsidRPr="00BA5ECD">
              <w:rPr>
                <w:lang w:val="en-US"/>
              </w:rPr>
              <w:t>Momentum</w:t>
            </w:r>
            <w:r w:rsidRPr="0013518F">
              <w:t>»</w:t>
            </w:r>
            <w:r>
              <w:t xml:space="preserve">, </w:t>
            </w:r>
            <w:r w:rsidRPr="00395A40">
              <w:rPr>
                <w:lang w:val="en-US"/>
              </w:rPr>
              <w:t>Visa</w:t>
            </w:r>
            <w:r w:rsidRPr="00395A40">
              <w:t xml:space="preserve"> </w:t>
            </w:r>
            <w:r w:rsidRPr="00395A40">
              <w:rPr>
                <w:lang w:val="en-US"/>
              </w:rPr>
              <w:t>Gold</w:t>
            </w:r>
            <w:r>
              <w:t xml:space="preserve">, </w:t>
            </w:r>
            <w:r w:rsidRPr="005E415F">
              <w:rPr>
                <w:lang w:val="en-US"/>
              </w:rPr>
              <w:t>Visa</w:t>
            </w:r>
            <w:r w:rsidRPr="0013518F">
              <w:t xml:space="preserve"> </w:t>
            </w:r>
            <w:r w:rsidRPr="005E415F">
              <w:rPr>
                <w:lang w:val="en-US"/>
              </w:rPr>
              <w:t>Gold</w:t>
            </w:r>
            <w:r w:rsidRPr="0013518F">
              <w:t xml:space="preserve"> «</w:t>
            </w:r>
            <w:r w:rsidRPr="005E415F">
              <w:t>Аэрофлот</w:t>
            </w:r>
            <w:r w:rsidRPr="0013518F">
              <w:t>»</w:t>
            </w:r>
            <w:r>
              <w:t xml:space="preserve">, </w:t>
            </w:r>
            <w:r w:rsidRPr="00744973">
              <w:rPr>
                <w:lang w:val="en-US"/>
              </w:rPr>
              <w:t>Visa</w:t>
            </w:r>
            <w:r w:rsidRPr="0013518F">
              <w:t xml:space="preserve"> </w:t>
            </w:r>
            <w:r w:rsidRPr="00744973">
              <w:rPr>
                <w:lang w:val="en-US"/>
              </w:rPr>
              <w:t>Gold</w:t>
            </w:r>
            <w:r w:rsidRPr="0013518F">
              <w:t xml:space="preserve"> «</w:t>
            </w:r>
            <w:r w:rsidRPr="00744973">
              <w:t>Подари</w:t>
            </w:r>
            <w:r w:rsidRPr="0013518F">
              <w:t xml:space="preserve"> </w:t>
            </w:r>
            <w:r w:rsidRPr="00744973">
              <w:t>жизнь</w:t>
            </w:r>
            <w:r w:rsidRPr="0013518F">
              <w:t>»</w:t>
            </w:r>
            <w:r>
              <w:t xml:space="preserve">, </w:t>
            </w:r>
            <w:r w:rsidRPr="00764AEA">
              <w:rPr>
                <w:lang w:val="en-US"/>
              </w:rPr>
              <w:t>Gold</w:t>
            </w:r>
            <w:r w:rsidRPr="0013518F">
              <w:t xml:space="preserve"> </w:t>
            </w:r>
            <w:r w:rsidRPr="00764AEA">
              <w:rPr>
                <w:lang w:val="en-US"/>
              </w:rPr>
              <w:t>MasterCard</w:t>
            </w:r>
            <w:r>
              <w:t xml:space="preserve">, </w:t>
            </w:r>
            <w:r w:rsidRPr="007F034F">
              <w:rPr>
                <w:lang w:val="en-US"/>
              </w:rPr>
              <w:t>Visa</w:t>
            </w:r>
            <w:r w:rsidRPr="007F034F">
              <w:t xml:space="preserve"> </w:t>
            </w:r>
            <w:r w:rsidRPr="007F034F">
              <w:rPr>
                <w:lang w:val="en-US"/>
              </w:rPr>
              <w:t>Platinum</w:t>
            </w:r>
            <w:r>
              <w:t xml:space="preserve">, </w:t>
            </w:r>
            <w:r w:rsidRPr="00BB2ADA">
              <w:rPr>
                <w:lang w:val="en-US"/>
              </w:rPr>
              <w:t>Platinum</w:t>
            </w:r>
            <w:r w:rsidRPr="0013518F">
              <w:t xml:space="preserve"> </w:t>
            </w:r>
            <w:r w:rsidRPr="00BB2ADA">
              <w:rPr>
                <w:lang w:val="en-US"/>
              </w:rPr>
              <w:t>MasterCard</w:t>
            </w:r>
            <w:r>
              <w:t xml:space="preserve">, </w:t>
            </w:r>
            <w:r w:rsidRPr="00C732C1">
              <w:rPr>
                <w:lang w:val="en-US"/>
              </w:rPr>
              <w:t>Visa</w:t>
            </w:r>
            <w:r w:rsidRPr="00C732C1">
              <w:t xml:space="preserve"> </w:t>
            </w:r>
            <w:r>
              <w:rPr>
                <w:lang w:val="en-US"/>
              </w:rPr>
              <w:t>Gold</w:t>
            </w:r>
            <w:r w:rsidRPr="00C732C1">
              <w:t xml:space="preserve"> «</w:t>
            </w:r>
            <w:r>
              <w:t>ЗОЛОТОЙ</w:t>
            </w:r>
            <w:r w:rsidRPr="00C732C1">
              <w:t>»</w:t>
            </w:r>
            <w:r>
              <w:t xml:space="preserve">, </w:t>
            </w:r>
            <w:r w:rsidRPr="000D030E">
              <w:rPr>
                <w:lang w:val="en-US"/>
              </w:rPr>
              <w:t>World</w:t>
            </w:r>
            <w:r w:rsidRPr="004B289A">
              <w:t xml:space="preserve"> </w:t>
            </w:r>
            <w:r w:rsidRPr="000D030E">
              <w:rPr>
                <w:lang w:val="en-US"/>
              </w:rPr>
              <w:t>MasterCard</w:t>
            </w:r>
            <w:r w:rsidRPr="004B289A">
              <w:t xml:space="preserve"> «</w:t>
            </w:r>
            <w:r>
              <w:t>ЗОЛОТОЙ</w:t>
            </w:r>
            <w:r w:rsidRPr="004B289A">
              <w:t>»</w:t>
            </w:r>
            <w:r>
              <w:rPr>
                <w:b/>
              </w:rPr>
              <w:t xml:space="preserve">, </w:t>
            </w:r>
            <w:r>
              <w:t xml:space="preserve">МИР Социальная, </w:t>
            </w:r>
            <w:r w:rsidRPr="0013518F">
              <w:t>МИР Классическая</w:t>
            </w:r>
            <w:r>
              <w:t>, МИР Золотая, МИР</w:t>
            </w:r>
            <w:r w:rsidRPr="0013518F">
              <w:t xml:space="preserve"> «</w:t>
            </w:r>
            <w:r w:rsidRPr="00BA5ECD">
              <w:rPr>
                <w:lang w:val="en-US"/>
              </w:rPr>
              <w:t>Momentum</w:t>
            </w:r>
            <w:r w:rsidRPr="0013518F">
              <w:t>»</w:t>
            </w:r>
            <w:r>
              <w:t xml:space="preserve">, </w:t>
            </w:r>
            <w:r w:rsidRPr="003070E9">
              <w:rPr>
                <w:lang w:val="en-US"/>
              </w:rPr>
              <w:t>Mastercard</w:t>
            </w:r>
            <w:r w:rsidRPr="003070E9">
              <w:rPr>
                <w:b/>
              </w:rPr>
              <w:t xml:space="preserve"> </w:t>
            </w:r>
            <w:r w:rsidRPr="003070E9">
              <w:t>Сберкарта</w:t>
            </w:r>
            <w:r>
              <w:t xml:space="preserve">, </w:t>
            </w:r>
            <w:r w:rsidRPr="003070E9">
              <w:rPr>
                <w:lang w:val="en-US"/>
              </w:rPr>
              <w:t>Visa</w:t>
            </w:r>
            <w:r w:rsidRPr="003070E9">
              <w:rPr>
                <w:b/>
              </w:rPr>
              <w:t xml:space="preserve"> </w:t>
            </w:r>
            <w:r w:rsidRPr="003070E9">
              <w:t>Сберкарта</w:t>
            </w:r>
            <w:r>
              <w:t xml:space="preserve">, </w:t>
            </w:r>
            <w:r w:rsidRPr="003070E9">
              <w:t>МИР</w:t>
            </w:r>
            <w:r w:rsidRPr="003070E9">
              <w:rPr>
                <w:b/>
              </w:rPr>
              <w:t xml:space="preserve"> </w:t>
            </w:r>
            <w:r w:rsidRPr="003070E9">
              <w:t>Сберкарта</w:t>
            </w:r>
            <w:r>
              <w:t>.</w:t>
            </w:r>
          </w:p>
          <w:p w:rsidR="005B2A98" w:rsidRDefault="005B2A98" w:rsidP="00140CE2">
            <w:pPr>
              <w:spacing w:after="46"/>
              <w:jc w:val="both"/>
            </w:pPr>
          </w:p>
        </w:tc>
      </w:tr>
      <w:tr w:rsidR="005B2A98" w:rsidTr="005B2A98">
        <w:tc>
          <w:tcPr>
            <w:tcW w:w="769" w:type="dxa"/>
          </w:tcPr>
          <w:p w:rsidR="005B2A98" w:rsidRDefault="005B2A98" w:rsidP="00140CE2">
            <w:pPr>
              <w:spacing w:after="46"/>
              <w:jc w:val="both"/>
            </w:pPr>
            <w:r>
              <w:t>2</w:t>
            </w:r>
          </w:p>
        </w:tc>
        <w:tc>
          <w:tcPr>
            <w:tcW w:w="2345" w:type="dxa"/>
          </w:tcPr>
          <w:p w:rsidR="005B2A98" w:rsidRDefault="005B2A98" w:rsidP="00140CE2">
            <w:pPr>
              <w:spacing w:after="46"/>
              <w:jc w:val="both"/>
            </w:pPr>
            <w:r>
              <w:t>Кредитная карта</w:t>
            </w:r>
          </w:p>
        </w:tc>
        <w:tc>
          <w:tcPr>
            <w:tcW w:w="6237" w:type="dxa"/>
          </w:tcPr>
          <w:p w:rsidR="005B2A98" w:rsidRPr="002E2FE5" w:rsidRDefault="005B2A98" w:rsidP="00140CE2">
            <w:pPr>
              <w:jc w:val="both"/>
            </w:pPr>
            <w:r w:rsidRPr="00E9583D">
              <w:rPr>
                <w:lang w:val="en-US"/>
              </w:rPr>
              <w:t>Visa</w:t>
            </w:r>
            <w:r w:rsidRPr="001F1E5E">
              <w:t xml:space="preserve"> </w:t>
            </w:r>
            <w:r w:rsidRPr="00E9583D">
              <w:rPr>
                <w:lang w:val="en-US"/>
              </w:rPr>
              <w:t>Classic</w:t>
            </w:r>
            <w:r w:rsidRPr="001F1E5E">
              <w:t xml:space="preserve">, </w:t>
            </w:r>
            <w:r w:rsidRPr="00291392">
              <w:rPr>
                <w:lang w:val="en-US"/>
              </w:rPr>
              <w:t>Visa</w:t>
            </w:r>
            <w:r w:rsidRPr="001F1E5E">
              <w:t xml:space="preserve"> </w:t>
            </w:r>
            <w:r w:rsidRPr="00291392">
              <w:rPr>
                <w:lang w:val="en-US"/>
              </w:rPr>
              <w:t>Classic</w:t>
            </w:r>
            <w:r w:rsidRPr="001F1E5E">
              <w:t xml:space="preserve"> «</w:t>
            </w:r>
            <w:r w:rsidRPr="00291392">
              <w:t>Подари</w:t>
            </w:r>
            <w:r w:rsidRPr="001F1E5E">
              <w:t xml:space="preserve"> </w:t>
            </w:r>
            <w:r w:rsidRPr="00291392">
              <w:t>жизнь</w:t>
            </w:r>
            <w:r w:rsidRPr="001F1E5E">
              <w:t xml:space="preserve">», </w:t>
            </w:r>
            <w:r w:rsidRPr="000B4293">
              <w:rPr>
                <w:lang w:val="en-US"/>
              </w:rPr>
              <w:t>Visa</w:t>
            </w:r>
            <w:r w:rsidRPr="001F1E5E">
              <w:t xml:space="preserve"> </w:t>
            </w:r>
            <w:r w:rsidRPr="006645ED">
              <w:rPr>
                <w:lang w:val="en-US"/>
              </w:rPr>
              <w:t>Credit</w:t>
            </w:r>
            <w:r w:rsidRPr="001F1E5E">
              <w:t xml:space="preserve"> </w:t>
            </w:r>
            <w:r w:rsidRPr="006645ED">
              <w:rPr>
                <w:lang w:val="en-US"/>
              </w:rPr>
              <w:t>Momentum</w:t>
            </w:r>
            <w:r w:rsidRPr="001F1E5E">
              <w:t xml:space="preserve">, </w:t>
            </w:r>
            <w:r w:rsidRPr="001D3419">
              <w:rPr>
                <w:lang w:val="en-US"/>
              </w:rPr>
              <w:t>Visa</w:t>
            </w:r>
            <w:r w:rsidRPr="001F1E5E">
              <w:t xml:space="preserve"> </w:t>
            </w:r>
            <w:r w:rsidRPr="001D3419">
              <w:rPr>
                <w:lang w:val="en-US"/>
              </w:rPr>
              <w:t>Gold</w:t>
            </w:r>
            <w:r w:rsidRPr="001F1E5E">
              <w:t xml:space="preserve">, </w:t>
            </w:r>
            <w:r w:rsidRPr="009D36D0">
              <w:rPr>
                <w:lang w:val="en-US"/>
              </w:rPr>
              <w:t>Visa</w:t>
            </w:r>
            <w:r w:rsidRPr="001F1E5E">
              <w:t xml:space="preserve"> </w:t>
            </w:r>
            <w:r w:rsidRPr="009D36D0">
              <w:rPr>
                <w:lang w:val="en-US"/>
              </w:rPr>
              <w:t>Gold</w:t>
            </w:r>
            <w:r w:rsidRPr="001F1E5E">
              <w:t xml:space="preserve"> «</w:t>
            </w:r>
            <w:r w:rsidRPr="009D36D0">
              <w:t>Аэрофлот</w:t>
            </w:r>
            <w:r w:rsidRPr="001F1E5E">
              <w:t xml:space="preserve">», </w:t>
            </w:r>
            <w:r w:rsidRPr="0099591E">
              <w:rPr>
                <w:lang w:val="en-US"/>
              </w:rPr>
              <w:t>Visa</w:t>
            </w:r>
            <w:r w:rsidRPr="001F1E5E">
              <w:t xml:space="preserve"> </w:t>
            </w:r>
            <w:r w:rsidRPr="0099591E">
              <w:rPr>
                <w:lang w:val="en-US"/>
              </w:rPr>
              <w:t>Gold</w:t>
            </w:r>
            <w:r w:rsidRPr="001F1E5E">
              <w:t xml:space="preserve"> «Подари жизнь», </w:t>
            </w:r>
            <w:r w:rsidRPr="00C16FDC">
              <w:rPr>
                <w:lang w:val="en-US"/>
              </w:rPr>
              <w:t>Visa</w:t>
            </w:r>
            <w:r w:rsidRPr="001F1E5E">
              <w:t xml:space="preserve"> </w:t>
            </w:r>
            <w:r w:rsidRPr="00C16FDC">
              <w:rPr>
                <w:lang w:val="en-US"/>
              </w:rPr>
              <w:t>Signature</w:t>
            </w:r>
            <w:r w:rsidRPr="001F1E5E">
              <w:t xml:space="preserve">, </w:t>
            </w:r>
            <w:r w:rsidRPr="000D21A7">
              <w:rPr>
                <w:lang w:val="en-US"/>
              </w:rPr>
              <w:t>Visa</w:t>
            </w:r>
            <w:r w:rsidRPr="001F1E5E">
              <w:t xml:space="preserve"> </w:t>
            </w:r>
            <w:r w:rsidRPr="000D21A7">
              <w:rPr>
                <w:lang w:val="en-US"/>
              </w:rPr>
              <w:t>Signature</w:t>
            </w:r>
            <w:r w:rsidRPr="001F1E5E">
              <w:t xml:space="preserve"> «</w:t>
            </w:r>
            <w:r w:rsidRPr="000D21A7">
              <w:t>Аэрофлот</w:t>
            </w:r>
            <w:r w:rsidRPr="001F1E5E">
              <w:t xml:space="preserve">», </w:t>
            </w:r>
            <w:r w:rsidRPr="00CE0914">
              <w:rPr>
                <w:lang w:val="en-US"/>
              </w:rPr>
              <w:t>MasterCard</w:t>
            </w:r>
            <w:r w:rsidRPr="001F1E5E">
              <w:t xml:space="preserve"> </w:t>
            </w:r>
            <w:r w:rsidRPr="00CE0914">
              <w:rPr>
                <w:lang w:val="en-US"/>
              </w:rPr>
              <w:t>Standard</w:t>
            </w:r>
            <w:r w:rsidRPr="001F1E5E">
              <w:t xml:space="preserve">, </w:t>
            </w:r>
            <w:r w:rsidRPr="006645ED">
              <w:rPr>
                <w:lang w:val="en-US"/>
              </w:rPr>
              <w:t>MasterCard</w:t>
            </w:r>
            <w:r w:rsidRPr="001F1E5E">
              <w:t xml:space="preserve"> </w:t>
            </w:r>
            <w:r w:rsidRPr="006645ED">
              <w:rPr>
                <w:lang w:val="en-US"/>
              </w:rPr>
              <w:t>Credit</w:t>
            </w:r>
            <w:r w:rsidRPr="001F1E5E">
              <w:t xml:space="preserve"> </w:t>
            </w:r>
            <w:r w:rsidRPr="006645ED">
              <w:rPr>
                <w:lang w:val="en-US"/>
              </w:rPr>
              <w:t>Momentum</w:t>
            </w:r>
            <w:r w:rsidRPr="001F1E5E">
              <w:t xml:space="preserve">, </w:t>
            </w:r>
            <w:r w:rsidRPr="002E3164">
              <w:rPr>
                <w:lang w:val="en-US"/>
              </w:rPr>
              <w:t>Gold</w:t>
            </w:r>
            <w:r w:rsidRPr="001F1E5E">
              <w:t xml:space="preserve"> </w:t>
            </w:r>
            <w:r w:rsidRPr="002E3164">
              <w:rPr>
                <w:lang w:val="en-US"/>
              </w:rPr>
              <w:t>MasterCard</w:t>
            </w:r>
            <w:r w:rsidRPr="001F1E5E">
              <w:t xml:space="preserve">, </w:t>
            </w:r>
            <w:r w:rsidRPr="007F159C">
              <w:rPr>
                <w:lang w:val="en-US"/>
              </w:rPr>
              <w:t>MasterCard</w:t>
            </w:r>
            <w:r w:rsidRPr="001F1E5E">
              <w:t xml:space="preserve"> </w:t>
            </w:r>
            <w:r w:rsidRPr="007F159C">
              <w:rPr>
                <w:lang w:val="en-US"/>
              </w:rPr>
              <w:t>World</w:t>
            </w:r>
            <w:r w:rsidRPr="001F1E5E">
              <w:t xml:space="preserve"> </w:t>
            </w:r>
            <w:r w:rsidRPr="007F159C">
              <w:rPr>
                <w:lang w:val="en-US"/>
              </w:rPr>
              <w:t>Black</w:t>
            </w:r>
            <w:r w:rsidRPr="001F1E5E">
              <w:t xml:space="preserve"> </w:t>
            </w:r>
            <w:r w:rsidRPr="007F159C">
              <w:rPr>
                <w:lang w:val="en-US"/>
              </w:rPr>
              <w:t>Edition</w:t>
            </w:r>
            <w:r w:rsidRPr="001F1E5E">
              <w:t xml:space="preserve">, </w:t>
            </w:r>
            <w:r w:rsidRPr="002D1B27">
              <w:rPr>
                <w:lang w:val="en-US"/>
              </w:rPr>
              <w:t>Visa</w:t>
            </w:r>
            <w:r w:rsidRPr="001F1E5E">
              <w:t xml:space="preserve"> </w:t>
            </w:r>
            <w:r w:rsidRPr="002D1B27">
              <w:rPr>
                <w:lang w:val="en-US"/>
              </w:rPr>
              <w:t>Classic</w:t>
            </w:r>
            <w:r w:rsidRPr="001F1E5E">
              <w:t xml:space="preserve"> «</w:t>
            </w:r>
            <w:r w:rsidRPr="002D1B27">
              <w:t>Аэрофлот</w:t>
            </w:r>
            <w:r w:rsidRPr="001F1E5E">
              <w:t xml:space="preserve">», </w:t>
            </w:r>
            <w:r w:rsidRPr="0055249C">
              <w:rPr>
                <w:lang w:val="en-US"/>
              </w:rPr>
              <w:t>Visa</w:t>
            </w:r>
            <w:r w:rsidRPr="001F1E5E">
              <w:t xml:space="preserve"> </w:t>
            </w:r>
            <w:r w:rsidRPr="0055249C">
              <w:rPr>
                <w:lang w:val="en-US"/>
              </w:rPr>
              <w:t>Classic</w:t>
            </w:r>
            <w:r w:rsidRPr="001F1E5E">
              <w:t xml:space="preserve"> «</w:t>
            </w:r>
            <w:r w:rsidRPr="0055249C">
              <w:t>Молодежная</w:t>
            </w:r>
            <w:r w:rsidRPr="001F1E5E">
              <w:t xml:space="preserve">», </w:t>
            </w:r>
            <w:r w:rsidRPr="00184F96">
              <w:rPr>
                <w:lang w:val="en-US"/>
              </w:rPr>
              <w:t>MasterCard</w:t>
            </w:r>
            <w:r w:rsidRPr="001F1E5E">
              <w:t xml:space="preserve"> </w:t>
            </w:r>
            <w:r w:rsidRPr="00184F96">
              <w:rPr>
                <w:lang w:val="en-US"/>
              </w:rPr>
              <w:t>Standard</w:t>
            </w:r>
            <w:r w:rsidRPr="001F1E5E">
              <w:t xml:space="preserve"> «Молодежная», </w:t>
            </w:r>
            <w:r w:rsidRPr="002E2FE5">
              <w:t>Кредитная</w:t>
            </w:r>
            <w:r w:rsidRPr="001F1E5E">
              <w:t xml:space="preserve"> </w:t>
            </w:r>
            <w:r w:rsidRPr="002E2FE5">
              <w:t>карта</w:t>
            </w:r>
            <w:r w:rsidRPr="001F1E5E">
              <w:t xml:space="preserve"> </w:t>
            </w:r>
            <w:r w:rsidRPr="002E2FE5">
              <w:t>Сбербанка</w:t>
            </w:r>
            <w:r w:rsidRPr="001F1E5E">
              <w:t xml:space="preserve"> </w:t>
            </w:r>
            <w:r w:rsidRPr="002E2FE5">
              <w:rPr>
                <w:lang w:val="en-US"/>
              </w:rPr>
              <w:t>Visa</w:t>
            </w:r>
            <w:r w:rsidRPr="001F1E5E">
              <w:t xml:space="preserve"> </w:t>
            </w:r>
            <w:r w:rsidRPr="002E2FE5">
              <w:rPr>
                <w:lang w:val="en-US"/>
              </w:rPr>
              <w:t>Gold</w:t>
            </w:r>
            <w:r w:rsidRPr="001F1E5E">
              <w:t xml:space="preserve">, </w:t>
            </w:r>
            <w:r w:rsidRPr="002E2FE5">
              <w:t xml:space="preserve">Кредитная карта </w:t>
            </w:r>
            <w:r w:rsidRPr="002E2FE5">
              <w:rPr>
                <w:lang w:val="en-US"/>
              </w:rPr>
              <w:t>Visa</w:t>
            </w:r>
            <w:r w:rsidRPr="002E2FE5">
              <w:t xml:space="preserve"> Сбербанка</w:t>
            </w:r>
            <w:r>
              <w:t xml:space="preserve">, </w:t>
            </w:r>
            <w:r w:rsidRPr="002E2FE5">
              <w:t xml:space="preserve">Кредитная карта </w:t>
            </w:r>
            <w:r w:rsidRPr="00AD423F">
              <w:rPr>
                <w:lang w:val="en-US"/>
              </w:rPr>
              <w:t>Mastercard</w:t>
            </w:r>
            <w:r w:rsidRPr="00AD423F">
              <w:t xml:space="preserve"> Сбербанка</w:t>
            </w:r>
          </w:p>
          <w:p w:rsidR="005B2A98" w:rsidRDefault="005B2A98" w:rsidP="00140CE2">
            <w:pPr>
              <w:spacing w:after="46"/>
              <w:jc w:val="both"/>
            </w:pPr>
          </w:p>
        </w:tc>
      </w:tr>
      <w:tr w:rsidR="005B2A98" w:rsidTr="005B2A98">
        <w:tc>
          <w:tcPr>
            <w:tcW w:w="769" w:type="dxa"/>
          </w:tcPr>
          <w:p w:rsidR="005B2A98" w:rsidRDefault="005B2A98" w:rsidP="00140CE2">
            <w:pPr>
              <w:spacing w:after="46"/>
              <w:jc w:val="both"/>
            </w:pPr>
            <w:r>
              <w:t>3</w:t>
            </w:r>
          </w:p>
        </w:tc>
        <w:tc>
          <w:tcPr>
            <w:tcW w:w="2345" w:type="dxa"/>
          </w:tcPr>
          <w:p w:rsidR="005B2A98" w:rsidRDefault="005B2A98" w:rsidP="00140CE2">
            <w:pPr>
              <w:spacing w:after="46"/>
              <w:jc w:val="both"/>
            </w:pPr>
            <w:r>
              <w:t>Вклад</w:t>
            </w:r>
          </w:p>
        </w:tc>
        <w:tc>
          <w:tcPr>
            <w:tcW w:w="6237" w:type="dxa"/>
          </w:tcPr>
          <w:p w:rsidR="005B2A98" w:rsidRDefault="005B2A98" w:rsidP="00140CE2">
            <w:pPr>
              <w:spacing w:after="46"/>
              <w:jc w:val="both"/>
            </w:pPr>
            <w:r>
              <w:t>«До востребования Сбербанка России», «Пенсионный-плюс  Сбербанка России», «Подари жизнь», «Пополняй», «Сохраняй», «Социальный», «Управляй»</w:t>
            </w:r>
          </w:p>
        </w:tc>
      </w:tr>
      <w:tr w:rsidR="005B2A98" w:rsidTr="005B2A98">
        <w:tc>
          <w:tcPr>
            <w:tcW w:w="769" w:type="dxa"/>
          </w:tcPr>
          <w:p w:rsidR="005B2A98" w:rsidRDefault="005B2A98" w:rsidP="00140CE2">
            <w:pPr>
              <w:spacing w:after="46"/>
              <w:jc w:val="both"/>
            </w:pPr>
            <w:r>
              <w:t>3</w:t>
            </w:r>
          </w:p>
        </w:tc>
        <w:tc>
          <w:tcPr>
            <w:tcW w:w="2345" w:type="dxa"/>
          </w:tcPr>
          <w:p w:rsidR="005B2A98" w:rsidRDefault="005B2A98" w:rsidP="00140CE2">
            <w:pPr>
              <w:spacing w:after="46"/>
              <w:jc w:val="both"/>
            </w:pPr>
            <w:r>
              <w:t>Потребительский кредит</w:t>
            </w:r>
          </w:p>
        </w:tc>
        <w:tc>
          <w:tcPr>
            <w:tcW w:w="6237" w:type="dxa"/>
          </w:tcPr>
          <w:p w:rsidR="005B2A98" w:rsidRDefault="005B2A98" w:rsidP="005B2A98">
            <w:pPr>
              <w:ind w:right="-674"/>
              <w:jc w:val="both"/>
            </w:pPr>
            <w:r w:rsidRPr="00140CE2">
              <w:t>«Потребительский кредит без обеспечения»</w:t>
            </w:r>
            <w:r>
              <w:t xml:space="preserve">, </w:t>
            </w:r>
            <w:r w:rsidRPr="00140CE2">
              <w:t>«Потребительский кредит под поручительство»</w:t>
            </w:r>
            <w:r>
              <w:t xml:space="preserve">, </w:t>
            </w:r>
            <w:r w:rsidRPr="00140CE2">
              <w:t>«Кредит физическим лицам, веду</w:t>
            </w:r>
            <w:r>
              <w:t xml:space="preserve">щим личное подсобное хозяйство», </w:t>
            </w:r>
            <w:r w:rsidRPr="00140CE2">
              <w:t xml:space="preserve">«Автокредит по двум </w:t>
            </w:r>
            <w:r w:rsidRPr="00140CE2">
              <w:lastRenderedPageBreak/>
              <w:t>документам»</w:t>
            </w:r>
            <w:r>
              <w:t xml:space="preserve">, </w:t>
            </w:r>
            <w:r w:rsidRPr="00140CE2">
              <w:t>«Автокредит классический»</w:t>
            </w:r>
            <w:r>
              <w:t xml:space="preserve">, </w:t>
            </w:r>
            <w:r w:rsidRPr="00140CE2">
              <w:t xml:space="preserve">«Потребительский кредит </w:t>
            </w:r>
            <w:r w:rsidRPr="00140CE2">
              <w:rPr>
                <w:bCs/>
              </w:rPr>
              <w:t xml:space="preserve">по документам на </w:t>
            </w:r>
            <w:r w:rsidRPr="00140CE2">
              <w:t>транспортное средство»</w:t>
            </w:r>
            <w:r>
              <w:t xml:space="preserve">, </w:t>
            </w:r>
            <w:r w:rsidRPr="00140CE2">
              <w:t>«Доверительный кредит»</w:t>
            </w:r>
            <w:r>
              <w:t xml:space="preserve">, </w:t>
            </w:r>
            <w:r w:rsidRPr="00140CE2">
              <w:t>«Образовательный кредит с государственной поддержкой»</w:t>
            </w:r>
            <w:r>
              <w:t xml:space="preserve">, </w:t>
            </w:r>
            <w:r w:rsidRPr="00140CE2">
              <w:t>«Потребительский кредит на рефинансирование кредитов»</w:t>
            </w:r>
            <w:r>
              <w:t>.</w:t>
            </w:r>
          </w:p>
        </w:tc>
      </w:tr>
      <w:tr w:rsidR="005B2A98" w:rsidTr="005B2A98">
        <w:tc>
          <w:tcPr>
            <w:tcW w:w="769" w:type="dxa"/>
          </w:tcPr>
          <w:p w:rsidR="005B2A98" w:rsidRDefault="005B2A98" w:rsidP="00140CE2">
            <w:pPr>
              <w:spacing w:after="46"/>
              <w:jc w:val="both"/>
            </w:pPr>
            <w:r>
              <w:lastRenderedPageBreak/>
              <w:t>4</w:t>
            </w:r>
          </w:p>
        </w:tc>
        <w:tc>
          <w:tcPr>
            <w:tcW w:w="2345" w:type="dxa"/>
          </w:tcPr>
          <w:p w:rsidR="005B2A98" w:rsidRDefault="005B2A98" w:rsidP="00140CE2">
            <w:pPr>
              <w:spacing w:after="46"/>
              <w:jc w:val="both"/>
            </w:pPr>
            <w:r>
              <w:t>Сберлогистика</w:t>
            </w:r>
          </w:p>
        </w:tc>
        <w:tc>
          <w:tcPr>
            <w:tcW w:w="6237" w:type="dxa"/>
          </w:tcPr>
          <w:p w:rsidR="005B2A98" w:rsidRDefault="005B2A98" w:rsidP="00140CE2">
            <w:pPr>
              <w:spacing w:after="46"/>
              <w:jc w:val="both"/>
            </w:pPr>
            <w:r>
              <w:t>Отправить или получить посылку в отделениях Сбербанка</w:t>
            </w:r>
            <w:r w:rsidR="00E66766">
              <w:t>. С описанием услуг можно ознакомиться по ссылке</w:t>
            </w:r>
            <w:r>
              <w:t xml:space="preserve"> </w:t>
            </w:r>
            <w:hyperlink r:id="rId7" w:history="1">
              <w:r w:rsidRPr="00552118">
                <w:rPr>
                  <w:rStyle w:val="a8"/>
                </w:rPr>
                <w:t>https://sberlogistics.ru/</w:t>
              </w:r>
            </w:hyperlink>
            <w:r>
              <w:t xml:space="preserve"> </w:t>
            </w:r>
          </w:p>
        </w:tc>
      </w:tr>
      <w:tr w:rsidR="005B2A98" w:rsidTr="005B2A98">
        <w:tc>
          <w:tcPr>
            <w:tcW w:w="769" w:type="dxa"/>
          </w:tcPr>
          <w:p w:rsidR="005B2A98" w:rsidRDefault="005B2A98" w:rsidP="00140CE2">
            <w:pPr>
              <w:spacing w:after="46"/>
              <w:jc w:val="both"/>
            </w:pPr>
            <w:r>
              <w:t>5</w:t>
            </w:r>
          </w:p>
        </w:tc>
        <w:tc>
          <w:tcPr>
            <w:tcW w:w="2345" w:type="dxa"/>
          </w:tcPr>
          <w:p w:rsidR="005B2A98" w:rsidRDefault="005B2A98" w:rsidP="00140CE2">
            <w:pPr>
              <w:spacing w:after="46"/>
              <w:jc w:val="both"/>
            </w:pPr>
            <w:r>
              <w:t>Окко</w:t>
            </w:r>
          </w:p>
        </w:tc>
        <w:tc>
          <w:tcPr>
            <w:tcW w:w="6237" w:type="dxa"/>
          </w:tcPr>
          <w:p w:rsidR="005B2A98" w:rsidRDefault="005B2A98" w:rsidP="00E66766">
            <w:pPr>
              <w:spacing w:after="46"/>
              <w:jc w:val="both"/>
            </w:pPr>
            <w:r>
              <w:t>Оформить подписку на онлайн-кинотеатр Окко</w:t>
            </w:r>
            <w:r w:rsidR="00E66766">
              <w:t xml:space="preserve">. </w:t>
            </w:r>
            <w:r w:rsidR="00E66766">
              <w:t xml:space="preserve">С описанием </w:t>
            </w:r>
            <w:r w:rsidR="00E66766">
              <w:t>сервиса</w:t>
            </w:r>
            <w:r w:rsidR="00E66766">
              <w:t xml:space="preserve"> можно ознакомиться по ссылке</w:t>
            </w:r>
            <w:r>
              <w:t xml:space="preserve"> </w:t>
            </w:r>
            <w:hyperlink r:id="rId8" w:history="1">
              <w:r w:rsidRPr="00552118">
                <w:rPr>
                  <w:rStyle w:val="a8"/>
                </w:rPr>
                <w:t>https://okko.tv/</w:t>
              </w:r>
            </w:hyperlink>
            <w:r>
              <w:t xml:space="preserve"> </w:t>
            </w:r>
          </w:p>
        </w:tc>
      </w:tr>
      <w:tr w:rsidR="005B2A98" w:rsidTr="005B2A98">
        <w:tc>
          <w:tcPr>
            <w:tcW w:w="769" w:type="dxa"/>
          </w:tcPr>
          <w:p w:rsidR="005B2A98" w:rsidRDefault="005B2A98" w:rsidP="00140CE2">
            <w:pPr>
              <w:spacing w:after="46"/>
              <w:jc w:val="both"/>
            </w:pPr>
            <w:r>
              <w:t>6</w:t>
            </w:r>
          </w:p>
        </w:tc>
        <w:tc>
          <w:tcPr>
            <w:tcW w:w="2345" w:type="dxa"/>
          </w:tcPr>
          <w:p w:rsidR="005B2A98" w:rsidRDefault="005B2A98" w:rsidP="00140CE2">
            <w:pPr>
              <w:spacing w:after="46"/>
              <w:jc w:val="both"/>
            </w:pPr>
            <w:r>
              <w:t>Сбермобайл</w:t>
            </w:r>
          </w:p>
        </w:tc>
        <w:tc>
          <w:tcPr>
            <w:tcW w:w="6237" w:type="dxa"/>
          </w:tcPr>
          <w:p w:rsidR="005B2A98" w:rsidRDefault="005B2A98" w:rsidP="00140CE2">
            <w:pPr>
              <w:spacing w:after="46"/>
              <w:jc w:val="both"/>
            </w:pPr>
            <w:r>
              <w:t>Купить сим-карту или подключить тариф от оператора мобильной связи</w:t>
            </w:r>
            <w:r w:rsidR="00E66766">
              <w:t xml:space="preserve">. </w:t>
            </w:r>
            <w:r w:rsidR="00E66766">
              <w:t>С описанием услуг можно ознакомиться по ссылке</w:t>
            </w:r>
            <w:r>
              <w:t xml:space="preserve"> </w:t>
            </w:r>
            <w:hyperlink r:id="rId9" w:history="1">
              <w:r w:rsidRPr="00552118">
                <w:rPr>
                  <w:rStyle w:val="a8"/>
                </w:rPr>
                <w:t>https://sbermobile.ru/mnp/</w:t>
              </w:r>
            </w:hyperlink>
            <w:r>
              <w:t xml:space="preserve"> </w:t>
            </w:r>
          </w:p>
        </w:tc>
      </w:tr>
      <w:tr w:rsidR="005B2A98" w:rsidTr="005B2A98">
        <w:tc>
          <w:tcPr>
            <w:tcW w:w="769" w:type="dxa"/>
          </w:tcPr>
          <w:p w:rsidR="005B2A98" w:rsidRDefault="005B2A98" w:rsidP="00140CE2">
            <w:pPr>
              <w:spacing w:after="46"/>
              <w:jc w:val="both"/>
            </w:pPr>
            <w:r>
              <w:t>7</w:t>
            </w:r>
          </w:p>
        </w:tc>
        <w:tc>
          <w:tcPr>
            <w:tcW w:w="2345" w:type="dxa"/>
          </w:tcPr>
          <w:p w:rsidR="005B2A98" w:rsidRDefault="005B2A98" w:rsidP="00140CE2">
            <w:pPr>
              <w:spacing w:after="46"/>
              <w:jc w:val="both"/>
            </w:pPr>
            <w:r>
              <w:t>СберПрайм</w:t>
            </w:r>
          </w:p>
        </w:tc>
        <w:tc>
          <w:tcPr>
            <w:tcW w:w="6237" w:type="dxa"/>
          </w:tcPr>
          <w:p w:rsidR="005B2A98" w:rsidRDefault="005B2A98" w:rsidP="00E66766">
            <w:pPr>
              <w:spacing w:after="46"/>
              <w:jc w:val="both"/>
            </w:pPr>
            <w:r>
              <w:t>Оформить подписку СберПрайм</w:t>
            </w:r>
            <w:r w:rsidR="00E66766">
              <w:t xml:space="preserve">. </w:t>
            </w:r>
            <w:r w:rsidR="00E66766">
              <w:t xml:space="preserve">С описанием </w:t>
            </w:r>
            <w:r w:rsidR="00E66766">
              <w:t>сервиса</w:t>
            </w:r>
            <w:r w:rsidR="00E66766">
              <w:t xml:space="preserve"> можно ознакомиться по ссылке</w:t>
            </w:r>
            <w:r>
              <w:t xml:space="preserve"> </w:t>
            </w:r>
            <w:hyperlink r:id="rId10" w:history="1">
              <w:r w:rsidRPr="00552118">
                <w:rPr>
                  <w:rStyle w:val="a8"/>
                </w:rPr>
                <w:t>https://www.sber.ru/sberprime/</w:t>
              </w:r>
            </w:hyperlink>
            <w:r>
              <w:t xml:space="preserve"> </w:t>
            </w:r>
          </w:p>
        </w:tc>
      </w:tr>
    </w:tbl>
    <w:p w:rsidR="00140CE2" w:rsidRPr="00140CE2" w:rsidRDefault="00140CE2" w:rsidP="00140CE2">
      <w:pPr>
        <w:pStyle w:val="a7"/>
        <w:spacing w:after="12" w:line="259" w:lineRule="auto"/>
        <w:ind w:right="8"/>
        <w:jc w:val="both"/>
      </w:pPr>
    </w:p>
    <w:p w:rsidR="00BD4394" w:rsidRPr="000E2491" w:rsidRDefault="00BD4394" w:rsidP="00BD4394">
      <w:pPr>
        <w:pStyle w:val="a7"/>
        <w:numPr>
          <w:ilvl w:val="0"/>
          <w:numId w:val="2"/>
        </w:numPr>
        <w:spacing w:after="12" w:line="259" w:lineRule="auto"/>
        <w:ind w:right="8"/>
        <w:jc w:val="both"/>
      </w:pPr>
      <w:r w:rsidRPr="00100463">
        <w:rPr>
          <w:b/>
        </w:rPr>
        <w:t>Информация о Призах.</w:t>
      </w:r>
      <w:r w:rsidRPr="000E2491">
        <w:t xml:space="preserve"> </w:t>
      </w:r>
    </w:p>
    <w:p w:rsidR="00BD4394" w:rsidRDefault="00BD4394" w:rsidP="00BD4394">
      <w:pPr>
        <w:pStyle w:val="a7"/>
        <w:numPr>
          <w:ilvl w:val="1"/>
          <w:numId w:val="2"/>
        </w:numPr>
        <w:tabs>
          <w:tab w:val="left" w:pos="1276"/>
        </w:tabs>
        <w:suppressAutoHyphens/>
        <w:jc w:val="both"/>
      </w:pPr>
      <w:r>
        <w:t xml:space="preserve">За каждое целевое действие из списка в п. 3.2.2., Участник Акции имеет возможность бесплатно получить </w:t>
      </w:r>
      <w:r w:rsidR="00524F70">
        <w:t>игрушку из коллекции «Сберкот». У</w:t>
      </w:r>
      <w:r>
        <w:t>частник акции вправе самостоятельно выбрать любую игрушку из бокса у сотрудника банка.</w:t>
      </w:r>
    </w:p>
    <w:p w:rsidR="00BD4394" w:rsidRDefault="00BD4394" w:rsidP="00BD4394">
      <w:pPr>
        <w:pStyle w:val="a7"/>
        <w:numPr>
          <w:ilvl w:val="1"/>
          <w:numId w:val="2"/>
        </w:numPr>
        <w:tabs>
          <w:tab w:val="left" w:pos="1276"/>
        </w:tabs>
        <w:suppressAutoHyphens/>
        <w:jc w:val="both"/>
      </w:pPr>
      <w:r>
        <w:t>Игрушку невозможно приобрести или получить любым иным способом кроме тех что указаны в данных Правилах</w:t>
      </w:r>
    </w:p>
    <w:p w:rsidR="00BD4394" w:rsidRDefault="00BD4394" w:rsidP="00BD4394">
      <w:pPr>
        <w:pStyle w:val="a7"/>
        <w:numPr>
          <w:ilvl w:val="0"/>
          <w:numId w:val="2"/>
        </w:numPr>
        <w:spacing w:after="52" w:line="259" w:lineRule="auto"/>
        <w:ind w:right="6"/>
        <w:jc w:val="both"/>
      </w:pPr>
      <w:r w:rsidRPr="00100463">
        <w:rPr>
          <w:b/>
        </w:rPr>
        <w:t>Прочие условия Акции</w:t>
      </w:r>
    </w:p>
    <w:p w:rsidR="00BD4394" w:rsidRDefault="00BD4394" w:rsidP="00E66766">
      <w:pPr>
        <w:pStyle w:val="a7"/>
        <w:numPr>
          <w:ilvl w:val="1"/>
          <w:numId w:val="2"/>
        </w:numPr>
        <w:spacing w:after="52" w:line="259" w:lineRule="auto"/>
        <w:ind w:right="6"/>
        <w:jc w:val="both"/>
      </w:pPr>
      <w:r>
        <w:t>В период проведения Акции перечень целевых действий и призов может изменяться. Точная информация о необходимом количестве целевых действий для получения игрушки, будет указана в рекламных материалах офиса и на сайте организатора Акции</w:t>
      </w:r>
      <w:r w:rsidR="00E66766">
        <w:t xml:space="preserve"> </w:t>
      </w:r>
      <w:hyperlink r:id="rId11" w:history="1">
        <w:r w:rsidR="00E66766" w:rsidRPr="0092019C">
          <w:rPr>
            <w:rStyle w:val="a8"/>
          </w:rPr>
          <w:t>https://www.sberbank.ru/ru/sbercats</w:t>
        </w:r>
      </w:hyperlink>
      <w:r w:rsidR="00E66766">
        <w:t xml:space="preserve"> </w:t>
      </w:r>
      <w:r>
        <w:t>.</w:t>
      </w:r>
    </w:p>
    <w:p w:rsidR="00BD4394" w:rsidRDefault="00BD4394" w:rsidP="00BD4394">
      <w:pPr>
        <w:pStyle w:val="a7"/>
        <w:numPr>
          <w:ilvl w:val="1"/>
          <w:numId w:val="2"/>
        </w:numPr>
        <w:spacing w:after="52" w:line="259" w:lineRule="auto"/>
        <w:ind w:right="6"/>
        <w:jc w:val="both"/>
      </w:pPr>
      <w:r>
        <w:t>Количество игрушек ограничено. В период проведения акции не гарантируется наличие игрушек в каждом офисе. В случае, если запас игрушек в месте их выдачи подошел к концу, акция в данном офисе прекращается досрочно.</w:t>
      </w:r>
    </w:p>
    <w:p w:rsidR="00BD4394" w:rsidRDefault="00BD4394" w:rsidP="00E66766">
      <w:pPr>
        <w:pStyle w:val="a7"/>
        <w:numPr>
          <w:ilvl w:val="1"/>
          <w:numId w:val="2"/>
        </w:numPr>
        <w:spacing w:after="52" w:line="259" w:lineRule="auto"/>
        <w:ind w:right="6"/>
        <w:jc w:val="both"/>
      </w:pPr>
      <w:r>
        <w:t xml:space="preserve">Подробную информацию об организаторе Акции, правилах ее проведения, сроках, адресах, порядке получения призов можно узнать по телефону горячей линии или на сайте </w:t>
      </w:r>
      <w:hyperlink r:id="rId12" w:history="1">
        <w:r w:rsidR="00E66766" w:rsidRPr="0092019C">
          <w:rPr>
            <w:rStyle w:val="a8"/>
          </w:rPr>
          <w:t>https://www.sberbank.ru/ru/sbercats</w:t>
        </w:r>
      </w:hyperlink>
      <w:r w:rsidR="00E66766">
        <w:t xml:space="preserve"> </w:t>
      </w:r>
      <w:bookmarkStart w:id="0" w:name="_GoBack"/>
      <w:bookmarkEnd w:id="0"/>
    </w:p>
    <w:p w:rsidR="00D95CFA" w:rsidRDefault="00BD4394" w:rsidP="00BD4394">
      <w:r w:rsidRPr="000E2491">
        <w:t xml:space="preserve">Во всем, что не предусмотрено настоящими Правилами, Организатор и Участники Акции руководствуются действующим законодательством Российской Федерации.  </w:t>
      </w:r>
    </w:p>
    <w:p w:rsidR="00524F70" w:rsidRDefault="00524F70" w:rsidP="00BD4394"/>
    <w:p w:rsidR="00524F70" w:rsidRDefault="00524F70" w:rsidP="00BD4394"/>
    <w:p w:rsidR="00524F70" w:rsidRDefault="00524F70" w:rsidP="00BD4394"/>
    <w:p w:rsidR="00524F70" w:rsidRPr="0081285F" w:rsidRDefault="00524F70" w:rsidP="00524F70">
      <w:pPr>
        <w:ind w:left="7080"/>
        <w:rPr>
          <w:b/>
        </w:rPr>
      </w:pPr>
      <w:r w:rsidRPr="00D44EC0">
        <w:rPr>
          <w:b/>
        </w:rPr>
        <w:t xml:space="preserve">ПРИЛОЖЕНИЕ </w:t>
      </w:r>
      <w:r>
        <w:rPr>
          <w:b/>
        </w:rPr>
        <w:t>1</w:t>
      </w:r>
    </w:p>
    <w:p w:rsidR="00524F70" w:rsidRPr="00D44EC0" w:rsidRDefault="00524F70" w:rsidP="00524F70">
      <w:pPr>
        <w:jc w:val="right"/>
        <w:rPr>
          <w:b/>
        </w:rPr>
      </w:pPr>
    </w:p>
    <w:p w:rsidR="00524F70" w:rsidRPr="00D44EC0" w:rsidRDefault="00524F70" w:rsidP="00524F70">
      <w:pPr>
        <w:jc w:val="right"/>
      </w:pPr>
    </w:p>
    <w:p w:rsidR="00524F70" w:rsidRPr="00D44EC0" w:rsidRDefault="00524F70" w:rsidP="00524F70">
      <w:pPr>
        <w:jc w:val="center"/>
        <w:outlineLvl w:val="0"/>
        <w:rPr>
          <w:b/>
        </w:rPr>
      </w:pPr>
      <w:r w:rsidRPr="00D44EC0">
        <w:rPr>
          <w:b/>
        </w:rPr>
        <w:t>Адресная программа</w:t>
      </w:r>
    </w:p>
    <w:p w:rsidR="00524F70" w:rsidRPr="00D44EC0" w:rsidRDefault="00524F70" w:rsidP="00524F70">
      <w:pPr>
        <w:jc w:val="center"/>
        <w:outlineLvl w:val="0"/>
        <w:rPr>
          <w:b/>
          <w:bCs/>
        </w:rPr>
      </w:pPr>
    </w:p>
    <w:tbl>
      <w:tblPr>
        <w:tblW w:w="9657" w:type="dxa"/>
        <w:tblInd w:w="-5" w:type="dxa"/>
        <w:tblLook w:val="04A0" w:firstRow="1" w:lastRow="0" w:firstColumn="1" w:lastColumn="0" w:noHBand="0" w:noVBand="1"/>
      </w:tblPr>
      <w:tblGrid>
        <w:gridCol w:w="2711"/>
        <w:gridCol w:w="6946"/>
      </w:tblGrid>
      <w:tr w:rsidR="00524F70" w:rsidRPr="0086732D" w:rsidTr="00524F70">
        <w:trPr>
          <w:trHeight w:val="31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jc w:val="center"/>
              <w:rPr>
                <w:b/>
                <w:color w:val="000000"/>
              </w:rPr>
            </w:pPr>
            <w:r w:rsidRPr="0086732D">
              <w:rPr>
                <w:b/>
                <w:color w:val="000000"/>
              </w:rPr>
              <w:t>Наименование подразделения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jc w:val="center"/>
              <w:rPr>
                <w:b/>
                <w:color w:val="000000"/>
              </w:rPr>
            </w:pPr>
            <w:r w:rsidRPr="0086732D">
              <w:rPr>
                <w:b/>
                <w:color w:val="000000"/>
              </w:rPr>
              <w:t>Юридический адрес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№6991/0643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445020, г. Тольятти, ул. Белорусская, 23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№6991/0644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445012, г. Тольятти, ул. Коммунистическая, 45Б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№6991/0649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445051, г. Тольятти, пр-т Степана Разина, 81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lastRenderedPageBreak/>
              <w:t>Доп. офис №6991/0650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445017, г. Тольятти, ул. Победы, 50 А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№6991/0651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445004, г. Тольятти, б-р 50 Лет Октября, 10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№6991/0652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445028, г. Тольятти, Автозаводский р-н, б-р Приморский, 42А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№6991/0653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445005, г. Тольятти, ул. Гидротехническая, 27 А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№6991/0655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445051, г. Тольятти, ул. Фрунзе, 8В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№6991/0657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445039, г. Тольятти, ул. Ворошилова, 27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№6991/0663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445036, г. Тольятти, ул. Юбилейная, 1А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№6991/0664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445039, г. Тольятти, ул. Ворошилова, 49А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№6991/0668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445029, г. Тольятти, ул. Революционная, 11Б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№6991/0669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445030, г. Тольятти, Цветной бульвар, 15А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№6991/0670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445047, г. Тольятти, Автозаводский район, Рябиновый б-р, 13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№6991/0674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445019, г. Тольятти, ул.Горького,36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№6991/0677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445022, г. Тольятти, Центральный район, ул. Толстого, 23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№6991/0679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445021, г. Тольятти, ул. Мира, 73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№6991/0680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445010, г. Тольятти, ул. Мира, 37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№6991/0681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445051, г. Тольятти, Ленинский пр-т, 1А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№6991/0682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445046, г. Тольятти, Комсомольский район, ул.</w:t>
            </w:r>
            <w:r>
              <w:rPr>
                <w:color w:val="000000"/>
              </w:rPr>
              <w:t xml:space="preserve"> </w:t>
            </w:r>
            <w:r w:rsidRPr="0086732D">
              <w:rPr>
                <w:color w:val="000000"/>
              </w:rPr>
              <w:t>Л.Чайкиной, 43А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№6991/0684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445044, г. Тольятти, Автозаводский р-н, б-р Космонавтов, 6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№6991/0685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445032, г. Тольятти, Автозаводский р-н, бульвар Кулибина, 6-б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№6991/0688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445045, г. Тольятти, ул. Чайкиной, 79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№6991/0696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445031, г. Тольятти, ул.70 лет Октября, 46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№6991/0699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445042, г. Тольятти, пр-т Степана Разина, 11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№6991/0703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445047, г. Тольятти, ул. Льва Яшина, 16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№6991/0704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445035, г. Тольятти, Центральный район, ул. Мира, 120, пом.1001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№6991/0706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445039, г. Тольятти, ул. Автостроителей, 68А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№6991/0710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445009, г. Тольятти, ул. Горького, 92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№6991/0714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445044, г. Тольятти, ул.70 лет Октября, 72А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№6991/0726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445027, г. Тольятти, Автозаводской р-н, ул. Юбилейная, дом 55</w:t>
            </w:r>
          </w:p>
        </w:tc>
      </w:tr>
      <w:tr w:rsidR="00524F70" w:rsidRPr="0086732D" w:rsidTr="00524F70">
        <w:trPr>
          <w:trHeight w:val="3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Доп. офис №6991/0727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70" w:rsidRPr="0086732D" w:rsidRDefault="00524F70" w:rsidP="0053455F">
            <w:pPr>
              <w:rPr>
                <w:color w:val="000000"/>
              </w:rPr>
            </w:pPr>
            <w:r w:rsidRPr="0086732D">
              <w:rPr>
                <w:color w:val="000000"/>
              </w:rPr>
              <w:t>445011, г. Тольятти, Центральный р-н, ул. Ленина, дом 87</w:t>
            </w:r>
          </w:p>
        </w:tc>
      </w:tr>
    </w:tbl>
    <w:p w:rsidR="00524F70" w:rsidRPr="00D44EC0" w:rsidRDefault="00524F70" w:rsidP="00524F70">
      <w:pPr>
        <w:jc w:val="center"/>
        <w:outlineLvl w:val="0"/>
        <w:rPr>
          <w:b/>
        </w:rPr>
      </w:pPr>
    </w:p>
    <w:p w:rsidR="00524F70" w:rsidRPr="00930A8B" w:rsidRDefault="00524F70" w:rsidP="00BD4394"/>
    <w:sectPr w:rsidR="00524F70" w:rsidRPr="00930A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A1" w:rsidRDefault="002347A1" w:rsidP="00BD4394">
      <w:r>
        <w:separator/>
      </w:r>
    </w:p>
  </w:endnote>
  <w:endnote w:type="continuationSeparator" w:id="0">
    <w:p w:rsidR="002347A1" w:rsidRDefault="002347A1" w:rsidP="00BD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391" w:rsidRDefault="00BA73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55F" w:rsidRDefault="00E66766">
    <w:pPr>
      <w:pStyle w:val="a5"/>
    </w:pPr>
    <w:r>
      <w:rPr>
        <w:noProof/>
      </w:rPr>
      <w:drawing>
        <wp:inline distT="0" distB="0" distL="0" distR="0">
          <wp:extent cx="9526" cy="9526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391" w:rsidRDefault="00BA73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A1" w:rsidRDefault="002347A1" w:rsidP="00BD4394">
      <w:r>
        <w:separator/>
      </w:r>
    </w:p>
  </w:footnote>
  <w:footnote w:type="continuationSeparator" w:id="0">
    <w:p w:rsidR="002347A1" w:rsidRDefault="002347A1" w:rsidP="00BD4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391" w:rsidRDefault="00BA73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391" w:rsidRDefault="00BA73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391" w:rsidRDefault="00BA73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76901"/>
    <w:multiLevelType w:val="multilevel"/>
    <w:tmpl w:val="2640C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6F43082"/>
    <w:multiLevelType w:val="hybridMultilevel"/>
    <w:tmpl w:val="FC608712"/>
    <w:lvl w:ilvl="0" w:tplc="36BA0A84">
      <w:start w:val="1"/>
      <w:numFmt w:val="decimal"/>
      <w:lvlText w:val="1.%1."/>
      <w:lvlJc w:val="left"/>
      <w:pPr>
        <w:ind w:left="715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77"/>
    <w:rsid w:val="000F092D"/>
    <w:rsid w:val="0013518F"/>
    <w:rsid w:val="00140CE2"/>
    <w:rsid w:val="001F1E5E"/>
    <w:rsid w:val="002347A1"/>
    <w:rsid w:val="00474977"/>
    <w:rsid w:val="00524F70"/>
    <w:rsid w:val="0053455F"/>
    <w:rsid w:val="005B2A98"/>
    <w:rsid w:val="008D481C"/>
    <w:rsid w:val="00930A8B"/>
    <w:rsid w:val="00A40D71"/>
    <w:rsid w:val="00A7239C"/>
    <w:rsid w:val="00AD2546"/>
    <w:rsid w:val="00B63693"/>
    <w:rsid w:val="00BA7391"/>
    <w:rsid w:val="00BD4394"/>
    <w:rsid w:val="00C631C3"/>
    <w:rsid w:val="00D95CFA"/>
    <w:rsid w:val="00E5005C"/>
    <w:rsid w:val="00E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98282"/>
  <w15:chartTrackingRefBased/>
  <w15:docId w15:val="{4B4053BD-6BD9-47F9-B318-7D1681B3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3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4394"/>
  </w:style>
  <w:style w:type="paragraph" w:styleId="a5">
    <w:name w:val="footer"/>
    <w:basedOn w:val="a"/>
    <w:link w:val="a6"/>
    <w:uiPriority w:val="99"/>
    <w:unhideWhenUsed/>
    <w:rsid w:val="00BD43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4394"/>
  </w:style>
  <w:style w:type="paragraph" w:styleId="a7">
    <w:name w:val="List Paragraph"/>
    <w:aliases w:val="Абзац маркированнный,1,UL,Предусловия,Абзац 1"/>
    <w:basedOn w:val="a"/>
    <w:uiPriority w:val="34"/>
    <w:qFormat/>
    <w:rsid w:val="00BD439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D4394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4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6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ko.tv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berlogistics.ru/" TargetMode="External"/><Relationship Id="rId12" Type="http://schemas.openxmlformats.org/officeDocument/2006/relationships/hyperlink" Target="https://www.sberbank.ru/ru/sbercat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berbank.ru/ru/sbercat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ber.ru/sberprim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bermobile.ru/mnp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54A7ADEDB963CB9227AB5A2C0FD7DCF4.dms.sberbank.ru/54A7ADEDB963CB9227AB5A2C0FD7DCF4-252A5E6BB455097368D1C07D6BA46354-AEBE546F168C0666859F486E68D21E10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910</Words>
  <Characters>5948</Characters>
  <Application>Microsoft Office Word</Application>
  <DocSecurity>0</DocSecurity>
  <Lines>184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Вдовенко Ольга Андреевна</dc:creator>
  <cp:keywords/>
  <dc:description/>
  <cp:lastModifiedBy>Вдовенко Ольга Андреевна</cp:lastModifiedBy>
  <cp:revision>10</cp:revision>
  <dcterms:created xsi:type="dcterms:W3CDTF">2021-01-14T06:33:00Z</dcterms:created>
  <dcterms:modified xsi:type="dcterms:W3CDTF">2021-01-29T12:12:00Z</dcterms:modified>
</cp:coreProperties>
</file>